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8F3" w:rsidRDefault="007968F3" w:rsidP="007968F3">
      <w:pPr>
        <w:widowControl/>
        <w:bidi w:val="0"/>
        <w:ind w:firstLine="0"/>
        <w:jc w:val="left"/>
        <w:rPr>
          <w:b/>
          <w:bCs/>
          <w:lang w:bidi="ar-EG"/>
        </w:rPr>
      </w:pPr>
      <w:r>
        <w:rPr>
          <w:b/>
          <w:bCs/>
          <w:noProof/>
          <w:lang w:eastAsia="en-US"/>
        </w:rPr>
        <w:drawing>
          <wp:anchor distT="0" distB="0" distL="114300" distR="114300" simplePos="0" relativeHeight="251659264" behindDoc="1" locked="0" layoutInCell="1" allowOverlap="1">
            <wp:simplePos x="0" y="0"/>
            <wp:positionH relativeFrom="column">
              <wp:posOffset>-900430</wp:posOffset>
            </wp:positionH>
            <wp:positionV relativeFrom="paragraph">
              <wp:posOffset>-900430</wp:posOffset>
            </wp:positionV>
            <wp:extent cx="7546975" cy="10658475"/>
            <wp:effectExtent l="0" t="0" r="0" b="0"/>
            <wp:wrapTight wrapText="bothSides">
              <wp:wrapPolygon edited="0">
                <wp:start x="0" y="0"/>
                <wp:lineTo x="0" y="21581"/>
                <wp:lineTo x="21536" y="21581"/>
                <wp:lineTo x="21536" y="0"/>
                <wp:lineTo x="0" y="0"/>
              </wp:wrapPolygon>
            </wp:wrapTight>
            <wp:docPr id="3" name="صورة 3" descr="C:\Users\hayth\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yth\AppData\Local\Microsoft\Windows\INetCache\Content.Word\Untitled-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6975" cy="10658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rtl/>
          <w:lang w:bidi="ar-EG"/>
        </w:rPr>
        <w:br w:type="page"/>
      </w:r>
    </w:p>
    <w:p w:rsidR="00A24C91" w:rsidRDefault="00964DC7" w:rsidP="007968F3">
      <w:pPr>
        <w:jc w:val="center"/>
        <w:rPr>
          <w:b/>
          <w:bCs/>
          <w:rtl/>
          <w:lang w:bidi="ar-EG"/>
        </w:rPr>
      </w:pPr>
      <w:r>
        <w:rPr>
          <w:rFonts w:hint="cs"/>
          <w:b/>
          <w:bCs/>
          <w:noProof/>
          <w:rtl/>
          <w:lang w:eastAsia="en-US"/>
        </w:rPr>
        <w:lastRenderedPageBreak/>
        <w:drawing>
          <wp:anchor distT="0" distB="0" distL="114300" distR="114300" simplePos="0" relativeHeight="251657216" behindDoc="1" locked="0" layoutInCell="1" allowOverlap="1" wp14:editId="35E16690">
            <wp:simplePos x="0" y="0"/>
            <wp:positionH relativeFrom="column">
              <wp:posOffset>36830</wp:posOffset>
            </wp:positionH>
            <wp:positionV relativeFrom="paragraph">
              <wp:posOffset>35560</wp:posOffset>
            </wp:positionV>
            <wp:extent cx="7523480" cy="10656570"/>
            <wp:effectExtent l="0" t="0" r="0" b="0"/>
            <wp:wrapTight wrapText="bothSides">
              <wp:wrapPolygon edited="0">
                <wp:start x="0" y="0"/>
                <wp:lineTo x="0" y="21546"/>
                <wp:lineTo x="21549" y="21546"/>
                <wp:lineTo x="21549" y="0"/>
                <wp:lineTo x="0" y="0"/>
              </wp:wrapPolygon>
            </wp:wrapTight>
            <wp:docPr id="1" name="صورة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3480" cy="10656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4C91" w:rsidRDefault="00A24C91" w:rsidP="00C563F6">
      <w:pPr>
        <w:jc w:val="center"/>
        <w:rPr>
          <w:b/>
          <w:bCs/>
          <w:rtl/>
        </w:rPr>
      </w:pPr>
    </w:p>
    <w:p w:rsidR="00A24C91" w:rsidRDefault="00A24C91" w:rsidP="00C563F6">
      <w:pPr>
        <w:jc w:val="center"/>
        <w:rPr>
          <w:b/>
          <w:bCs/>
          <w:rtl/>
        </w:rPr>
      </w:pPr>
    </w:p>
    <w:p w:rsidR="00F41EE0" w:rsidRDefault="00F41EE0" w:rsidP="00C563F6">
      <w:pPr>
        <w:jc w:val="center"/>
        <w:rPr>
          <w:b/>
          <w:bCs/>
          <w:rtl/>
        </w:rPr>
      </w:pPr>
    </w:p>
    <w:p w:rsidR="009D4D63" w:rsidRDefault="009D4D63" w:rsidP="009D4D63">
      <w:pPr>
        <w:ind w:firstLine="0"/>
        <w:jc w:val="center"/>
        <w:rPr>
          <w:b/>
          <w:bCs/>
          <w:rtl/>
        </w:rPr>
      </w:pPr>
    </w:p>
    <w:p w:rsidR="009D4D63" w:rsidRDefault="009D4D63" w:rsidP="009D4D63">
      <w:pPr>
        <w:ind w:firstLine="0"/>
        <w:jc w:val="center"/>
        <w:rPr>
          <w:b/>
          <w:bCs/>
          <w:rtl/>
        </w:rPr>
      </w:pPr>
    </w:p>
    <w:p w:rsidR="005A3FC6" w:rsidRPr="00964DC7" w:rsidRDefault="00A24C91" w:rsidP="009D4D63">
      <w:pPr>
        <w:ind w:firstLine="0"/>
        <w:jc w:val="center"/>
        <w:rPr>
          <w:rFonts w:cs="PT Bold Broken"/>
          <w:b/>
          <w:bCs/>
          <w:color w:val="0070C0"/>
          <w:sz w:val="56"/>
          <w:szCs w:val="56"/>
          <w:rtl/>
        </w:rPr>
      </w:pPr>
      <w:r w:rsidRPr="00964DC7">
        <w:rPr>
          <w:rFonts w:cs="PT Bold Broken" w:hint="cs"/>
          <w:b/>
          <w:bCs/>
          <w:color w:val="0070C0"/>
          <w:sz w:val="56"/>
          <w:szCs w:val="56"/>
          <w:rtl/>
        </w:rPr>
        <w:t>الرجوع عن الإقرار</w:t>
      </w:r>
    </w:p>
    <w:p w:rsidR="00A24C91" w:rsidRPr="00964DC7" w:rsidRDefault="00A24C91" w:rsidP="009D4D63">
      <w:pPr>
        <w:ind w:firstLine="0"/>
        <w:jc w:val="center"/>
        <w:rPr>
          <w:rFonts w:cs="PT Bold Broken"/>
          <w:b/>
          <w:bCs/>
          <w:color w:val="0070C0"/>
          <w:sz w:val="56"/>
          <w:szCs w:val="56"/>
          <w:rtl/>
        </w:rPr>
      </w:pPr>
      <w:r w:rsidRPr="00964DC7">
        <w:rPr>
          <w:rFonts w:cs="PT Bold Broken" w:hint="cs"/>
          <w:b/>
          <w:bCs/>
          <w:color w:val="0070C0"/>
          <w:sz w:val="56"/>
          <w:szCs w:val="56"/>
          <w:rtl/>
        </w:rPr>
        <w:t>فيما موجبه التعزير</w:t>
      </w:r>
    </w:p>
    <w:p w:rsidR="00A24C91" w:rsidRDefault="00A24C91" w:rsidP="00C563F6">
      <w:pPr>
        <w:jc w:val="center"/>
        <w:rPr>
          <w:b/>
          <w:bCs/>
          <w:rtl/>
        </w:rPr>
      </w:pPr>
    </w:p>
    <w:p w:rsidR="00A24C91" w:rsidRDefault="00A24C91" w:rsidP="00C563F6">
      <w:pPr>
        <w:jc w:val="center"/>
        <w:rPr>
          <w:b/>
          <w:bCs/>
          <w:rtl/>
        </w:rPr>
      </w:pPr>
    </w:p>
    <w:p w:rsidR="00E57E87" w:rsidRDefault="00E57E87" w:rsidP="00C563F6">
      <w:pPr>
        <w:jc w:val="center"/>
        <w:rPr>
          <w:b/>
          <w:bCs/>
          <w:rtl/>
        </w:rPr>
      </w:pPr>
    </w:p>
    <w:p w:rsidR="00E57E87" w:rsidRDefault="00E57E87" w:rsidP="00C563F6">
      <w:pPr>
        <w:jc w:val="center"/>
        <w:rPr>
          <w:b/>
          <w:bCs/>
          <w:rtl/>
        </w:rPr>
      </w:pPr>
    </w:p>
    <w:p w:rsidR="00964DC7" w:rsidRDefault="00964DC7" w:rsidP="00C563F6">
      <w:pPr>
        <w:jc w:val="center"/>
        <w:rPr>
          <w:b/>
          <w:bCs/>
          <w:rtl/>
        </w:rPr>
      </w:pPr>
    </w:p>
    <w:p w:rsidR="00964DC7" w:rsidRDefault="00964DC7" w:rsidP="00C563F6">
      <w:pPr>
        <w:jc w:val="center"/>
        <w:rPr>
          <w:b/>
          <w:bCs/>
          <w:rtl/>
        </w:rPr>
      </w:pPr>
    </w:p>
    <w:p w:rsidR="00964DC7" w:rsidRDefault="00964DC7" w:rsidP="00C563F6">
      <w:pPr>
        <w:jc w:val="center"/>
        <w:rPr>
          <w:b/>
          <w:bCs/>
          <w:rtl/>
        </w:rPr>
      </w:pPr>
    </w:p>
    <w:p w:rsidR="00964DC7" w:rsidRDefault="00964DC7" w:rsidP="00C563F6">
      <w:pPr>
        <w:jc w:val="center"/>
        <w:rPr>
          <w:b/>
          <w:bCs/>
          <w:rtl/>
        </w:rPr>
      </w:pPr>
    </w:p>
    <w:p w:rsidR="00964DC7" w:rsidRDefault="00964DC7" w:rsidP="00C563F6">
      <w:pPr>
        <w:jc w:val="center"/>
        <w:rPr>
          <w:b/>
          <w:bCs/>
          <w:rtl/>
        </w:rPr>
      </w:pPr>
    </w:p>
    <w:p w:rsidR="00A24C91" w:rsidRDefault="00A24C91" w:rsidP="00C563F6">
      <w:pPr>
        <w:jc w:val="center"/>
        <w:rPr>
          <w:b/>
          <w:bCs/>
          <w:rtl/>
        </w:rPr>
      </w:pPr>
    </w:p>
    <w:p w:rsidR="00A24C91" w:rsidRPr="00964DC7" w:rsidRDefault="00A24C91" w:rsidP="00C563F6">
      <w:pPr>
        <w:jc w:val="center"/>
        <w:rPr>
          <w:b/>
          <w:bCs/>
          <w:color w:val="C00000"/>
          <w:rtl/>
        </w:rPr>
      </w:pPr>
      <w:r w:rsidRPr="00964DC7">
        <w:rPr>
          <w:rFonts w:hint="cs"/>
          <w:b/>
          <w:bCs/>
          <w:color w:val="C00000"/>
          <w:rtl/>
        </w:rPr>
        <w:t xml:space="preserve">نايف بن علي </w:t>
      </w:r>
      <w:r w:rsidR="00E57E87" w:rsidRPr="00964DC7">
        <w:rPr>
          <w:rFonts w:hint="cs"/>
          <w:b/>
          <w:bCs/>
          <w:color w:val="C00000"/>
          <w:rtl/>
        </w:rPr>
        <w:t xml:space="preserve">بن عبدالله </w:t>
      </w:r>
      <w:r w:rsidRPr="00964DC7">
        <w:rPr>
          <w:rFonts w:hint="cs"/>
          <w:b/>
          <w:bCs/>
          <w:color w:val="C00000"/>
          <w:rtl/>
        </w:rPr>
        <w:t>القفاري</w:t>
      </w:r>
    </w:p>
    <w:p w:rsidR="00964DC7" w:rsidRPr="00964DC7" w:rsidRDefault="00964DC7" w:rsidP="00C563F6">
      <w:pPr>
        <w:jc w:val="center"/>
        <w:rPr>
          <w:b/>
          <w:bCs/>
          <w:color w:val="C00000"/>
          <w:rtl/>
        </w:rPr>
      </w:pPr>
    </w:p>
    <w:p w:rsidR="00A24C91" w:rsidRDefault="00E57E87" w:rsidP="00964DC7">
      <w:pPr>
        <w:jc w:val="center"/>
        <w:rPr>
          <w:b/>
          <w:bCs/>
          <w:rtl/>
        </w:rPr>
      </w:pPr>
      <w:r>
        <w:rPr>
          <w:rFonts w:hint="cs"/>
          <w:b/>
          <w:bCs/>
          <w:rtl/>
        </w:rPr>
        <w:t>صفر</w:t>
      </w:r>
      <w:r w:rsidR="00A24C91">
        <w:rPr>
          <w:rFonts w:hint="cs"/>
          <w:b/>
          <w:bCs/>
          <w:rtl/>
        </w:rPr>
        <w:t xml:space="preserve"> </w:t>
      </w:r>
      <w:r>
        <w:rPr>
          <w:rFonts w:hint="cs"/>
          <w:b/>
          <w:bCs/>
          <w:rtl/>
        </w:rPr>
        <w:t>1435</w:t>
      </w:r>
    </w:p>
    <w:p w:rsidR="00052D29" w:rsidRDefault="00052D29" w:rsidP="00E57E87">
      <w:pPr>
        <w:jc w:val="right"/>
        <w:rPr>
          <w:b/>
          <w:bCs/>
          <w:rtl/>
        </w:rPr>
      </w:pPr>
    </w:p>
    <w:p w:rsidR="00A24C91" w:rsidRDefault="00A24C91">
      <w:pPr>
        <w:widowControl/>
        <w:bidi w:val="0"/>
        <w:ind w:firstLine="0"/>
        <w:jc w:val="left"/>
        <w:rPr>
          <w:b/>
          <w:bCs/>
        </w:rPr>
      </w:pPr>
      <w:r>
        <w:rPr>
          <w:b/>
          <w:bCs/>
          <w:rtl/>
        </w:rPr>
        <w:br w:type="page"/>
      </w:r>
    </w:p>
    <w:p w:rsidR="00A24C91" w:rsidRDefault="00A24C91" w:rsidP="00C563F6">
      <w:pPr>
        <w:jc w:val="center"/>
        <w:rPr>
          <w:b/>
          <w:bCs/>
          <w:rtl/>
        </w:rPr>
      </w:pPr>
    </w:p>
    <w:p w:rsidR="00256D7B" w:rsidRDefault="00256D7B" w:rsidP="00C563F6">
      <w:pPr>
        <w:jc w:val="center"/>
        <w:rPr>
          <w:b/>
          <w:bCs/>
          <w:rtl/>
        </w:rPr>
      </w:pPr>
    </w:p>
    <w:p w:rsidR="00C563F6" w:rsidRPr="004449EC" w:rsidRDefault="00C563F6" w:rsidP="00C563F6">
      <w:pPr>
        <w:jc w:val="center"/>
        <w:rPr>
          <w:b/>
          <w:bCs/>
          <w:rtl/>
        </w:rPr>
      </w:pPr>
      <w:r w:rsidRPr="004449EC">
        <w:rPr>
          <w:rFonts w:hint="cs"/>
          <w:b/>
          <w:bCs/>
          <w:rtl/>
        </w:rPr>
        <w:t>بسم الله الرحمن الرحيم</w:t>
      </w:r>
    </w:p>
    <w:p w:rsidR="00C563F6" w:rsidRDefault="00C563F6" w:rsidP="00C563F6">
      <w:pPr>
        <w:rPr>
          <w:rtl/>
        </w:rPr>
      </w:pPr>
    </w:p>
    <w:p w:rsidR="00C563F6" w:rsidRDefault="00C563F6" w:rsidP="00C563F6">
      <w:pPr>
        <w:rPr>
          <w:rtl/>
        </w:rPr>
      </w:pPr>
      <w:r>
        <w:rPr>
          <w:rFonts w:hint="cs"/>
          <w:rtl/>
        </w:rPr>
        <w:t xml:space="preserve">الحمد لله وحده، والصلاة والسلام على من لا نبي بعده، وبعد: </w:t>
      </w:r>
    </w:p>
    <w:p w:rsidR="00C563F6" w:rsidRDefault="00C563F6" w:rsidP="00C563F6">
      <w:pPr>
        <w:rPr>
          <w:rtl/>
        </w:rPr>
      </w:pPr>
      <w:r>
        <w:rPr>
          <w:rFonts w:hint="cs"/>
          <w:rtl/>
        </w:rPr>
        <w:t>فهذ</w:t>
      </w:r>
      <w:r w:rsidR="00256D7B">
        <w:rPr>
          <w:rFonts w:hint="cs"/>
          <w:rtl/>
        </w:rPr>
        <w:t>ه</w:t>
      </w:r>
      <w:r>
        <w:rPr>
          <w:rFonts w:hint="cs"/>
          <w:rtl/>
        </w:rPr>
        <w:t xml:space="preserve"> كتابة يسيرة حول أثر الرجوع عن الإقرار فيما موجبه التعزير.</w:t>
      </w:r>
    </w:p>
    <w:p w:rsidR="00256D7B" w:rsidRDefault="00C563F6" w:rsidP="00C563F6">
      <w:pPr>
        <w:rPr>
          <w:rtl/>
        </w:rPr>
      </w:pPr>
      <w:r>
        <w:rPr>
          <w:rFonts w:hint="cs"/>
          <w:rtl/>
        </w:rPr>
        <w:t xml:space="preserve">وهي مسألة يكثر التسبيب بها في الأحكام القضائية، أحببت أن أشارك فيها بما يفتحه الله تعالى. </w:t>
      </w:r>
    </w:p>
    <w:p w:rsidR="00C563F6" w:rsidRDefault="00C563F6" w:rsidP="00C563F6">
      <w:pPr>
        <w:rPr>
          <w:rtl/>
        </w:rPr>
      </w:pPr>
      <w:r>
        <w:rPr>
          <w:rFonts w:hint="cs"/>
          <w:rtl/>
        </w:rPr>
        <w:t xml:space="preserve">وقد انتظم البحث في فقرتين: </w:t>
      </w:r>
    </w:p>
    <w:p w:rsidR="00C563F6" w:rsidRDefault="00C563F6" w:rsidP="00C563F6">
      <w:pPr>
        <w:rPr>
          <w:rtl/>
        </w:rPr>
      </w:pPr>
      <w:r>
        <w:rPr>
          <w:rFonts w:hint="cs"/>
          <w:rtl/>
        </w:rPr>
        <w:t>الأولى: أثر رجوع المقر اختياراً فيما موجبه التعزير.</w:t>
      </w:r>
    </w:p>
    <w:p w:rsidR="00C563F6" w:rsidRDefault="00C563F6" w:rsidP="00C563F6">
      <w:pPr>
        <w:rPr>
          <w:rtl/>
        </w:rPr>
      </w:pPr>
      <w:r>
        <w:rPr>
          <w:rFonts w:hint="cs"/>
          <w:rtl/>
        </w:rPr>
        <w:t>الثانية: أثر رجوع المقر كرهاً فيما موجبه التعزير.</w:t>
      </w:r>
    </w:p>
    <w:p w:rsidR="00477EF7" w:rsidRDefault="00477EF7" w:rsidP="00C563F6">
      <w:pPr>
        <w:rPr>
          <w:rtl/>
        </w:rPr>
      </w:pPr>
      <w:r>
        <w:rPr>
          <w:rFonts w:hint="cs"/>
          <w:rtl/>
        </w:rPr>
        <w:t>وأسجل ش</w:t>
      </w:r>
      <w:r w:rsidR="004A2706">
        <w:rPr>
          <w:rFonts w:hint="cs"/>
          <w:rtl/>
        </w:rPr>
        <w:t>كري هنا لكل من تفضل بتصويب</w:t>
      </w:r>
      <w:r>
        <w:rPr>
          <w:rFonts w:hint="cs"/>
          <w:rtl/>
        </w:rPr>
        <w:t xml:space="preserve"> هذه الورقات.</w:t>
      </w:r>
    </w:p>
    <w:p w:rsidR="00C563F6" w:rsidRDefault="00C563F6" w:rsidP="00477EF7">
      <w:pPr>
        <w:rPr>
          <w:rtl/>
        </w:rPr>
      </w:pPr>
      <w:r>
        <w:rPr>
          <w:rFonts w:hint="cs"/>
          <w:rtl/>
        </w:rPr>
        <w:t>أسأل الله تعالى أن يلهمني الصواب وأن يتقبلها بقبول حسن وأن ينفع بها</w:t>
      </w:r>
      <w:r w:rsidR="00477EF7">
        <w:rPr>
          <w:rFonts w:hint="cs"/>
          <w:rtl/>
        </w:rPr>
        <w:t xml:space="preserve">. </w:t>
      </w:r>
      <w:r>
        <w:rPr>
          <w:rFonts w:hint="cs"/>
          <w:rtl/>
        </w:rPr>
        <w:t xml:space="preserve">وبالله التوفيق. </w:t>
      </w:r>
    </w:p>
    <w:p w:rsidR="00F41EE0" w:rsidRDefault="00F41EE0" w:rsidP="00C563F6">
      <w:pPr>
        <w:rPr>
          <w:rtl/>
        </w:rPr>
      </w:pPr>
    </w:p>
    <w:p w:rsidR="00F41EE0" w:rsidRDefault="00F41EE0" w:rsidP="00C563F6">
      <w:pPr>
        <w:rPr>
          <w:rtl/>
        </w:rPr>
      </w:pPr>
    </w:p>
    <w:p w:rsidR="00F41EE0" w:rsidRDefault="00F41EE0" w:rsidP="00C563F6">
      <w:pPr>
        <w:rPr>
          <w:rtl/>
        </w:rPr>
      </w:pPr>
    </w:p>
    <w:p w:rsidR="00256D7B" w:rsidRDefault="00256D7B">
      <w:pPr>
        <w:widowControl/>
        <w:bidi w:val="0"/>
        <w:ind w:firstLine="0"/>
        <w:jc w:val="left"/>
      </w:pPr>
      <w:r>
        <w:rPr>
          <w:rtl/>
        </w:rPr>
        <w:br w:type="page"/>
      </w:r>
    </w:p>
    <w:p w:rsidR="00C563F6" w:rsidRDefault="00C563F6" w:rsidP="00C563F6">
      <w:pPr>
        <w:rPr>
          <w:rtl/>
        </w:rPr>
      </w:pPr>
    </w:p>
    <w:p w:rsidR="00C563F6" w:rsidRDefault="00C563F6" w:rsidP="00C563F6">
      <w:pPr>
        <w:jc w:val="center"/>
        <w:rPr>
          <w:b/>
          <w:bCs/>
          <w:color w:val="FF0000"/>
          <w:rtl/>
        </w:rPr>
      </w:pPr>
      <w:r w:rsidRPr="00386C88">
        <w:rPr>
          <w:rFonts w:hint="cs"/>
          <w:b/>
          <w:bCs/>
          <w:color w:val="FF0000"/>
          <w:rtl/>
        </w:rPr>
        <w:t>أولاً:</w:t>
      </w:r>
      <w:r w:rsidRPr="00386C88">
        <w:rPr>
          <w:rFonts w:hint="cs"/>
          <w:b/>
          <w:bCs/>
          <w:rtl/>
        </w:rPr>
        <w:t xml:space="preserve"> </w:t>
      </w:r>
      <w:r w:rsidRPr="00386C88">
        <w:rPr>
          <w:rFonts w:hint="cs"/>
          <w:b/>
          <w:bCs/>
          <w:color w:val="FF0000"/>
          <w:rtl/>
        </w:rPr>
        <w:t xml:space="preserve">أثر رجوع المقر اختياراً فيما موجبه التعزير </w:t>
      </w:r>
    </w:p>
    <w:p w:rsidR="009D4D63" w:rsidRPr="00DF6374" w:rsidRDefault="009D4D63" w:rsidP="00C563F6">
      <w:pPr>
        <w:jc w:val="center"/>
        <w:rPr>
          <w:b/>
          <w:bCs/>
          <w:color w:val="FF0000"/>
          <w:rtl/>
        </w:rPr>
      </w:pPr>
    </w:p>
    <w:p w:rsidR="00C563F6" w:rsidRDefault="00C563F6" w:rsidP="00C563F6">
      <w:pPr>
        <w:rPr>
          <w:rtl/>
        </w:rPr>
      </w:pPr>
      <w:r>
        <w:rPr>
          <w:rFonts w:hint="cs"/>
          <w:rtl/>
        </w:rPr>
        <w:t>لو أقر مكلف بأمر</w:t>
      </w:r>
      <w:r w:rsidR="00256D7B">
        <w:rPr>
          <w:rFonts w:hint="cs"/>
          <w:rtl/>
        </w:rPr>
        <w:t>ٍ</w:t>
      </w:r>
      <w:r>
        <w:rPr>
          <w:rFonts w:hint="cs"/>
          <w:rtl/>
        </w:rPr>
        <w:t xml:space="preserve"> عقوبته تعزيرية، وقد أقر بذلك مختاراً لم يمارس عليه أي إكراه، ولم تدل دلالة حاله عند الإقرار على الإكراه -كما لو كان موكلاً به أو سجيناً-، فهذا إذا رجع عن إقراره لم يقبل رجوعه، ولا أثر لرجوعه في النظر القضائي. هذا هو منصوص الفقهاء وقد حكى ابن قدامة الإجماع عليه</w:t>
      </w:r>
      <w:r w:rsidR="003251BD" w:rsidRPr="003251BD">
        <w:rPr>
          <w:rStyle w:val="ae"/>
          <w:rtl/>
        </w:rPr>
        <w:t>(</w:t>
      </w:r>
      <w:r w:rsidR="003251BD">
        <w:rPr>
          <w:rStyle w:val="ae"/>
          <w:rtl/>
        </w:rPr>
        <w:footnoteReference w:id="1"/>
      </w:r>
      <w:r w:rsidR="003251BD" w:rsidRPr="003251BD">
        <w:rPr>
          <w:rStyle w:val="ae"/>
          <w:rtl/>
        </w:rPr>
        <w:t>)</w:t>
      </w:r>
      <w:r>
        <w:rPr>
          <w:rFonts w:hint="cs"/>
          <w:rtl/>
        </w:rPr>
        <w:t xml:space="preserve">: </w:t>
      </w:r>
    </w:p>
    <w:p w:rsidR="00C563F6" w:rsidRDefault="00C563F6" w:rsidP="00C563F6">
      <w:pPr>
        <w:rPr>
          <w:rtl/>
        </w:rPr>
      </w:pPr>
      <w:r>
        <w:rPr>
          <w:rFonts w:hint="cs"/>
          <w:rtl/>
        </w:rPr>
        <w:lastRenderedPageBreak/>
        <w:t>-قال ابن عابدين في حاشيته الشهيرة: (الرجوع يعمل في الحد لا في التعزير)</w:t>
      </w:r>
      <w:r w:rsidRPr="00D27EB5">
        <w:rPr>
          <w:rStyle w:val="ae"/>
          <w:rtl/>
        </w:rPr>
        <w:t>(</w:t>
      </w:r>
      <w:r>
        <w:rPr>
          <w:rStyle w:val="ae"/>
          <w:rtl/>
        </w:rPr>
        <w:footnoteReference w:id="2"/>
      </w:r>
      <w:r w:rsidRPr="00D27EB5">
        <w:rPr>
          <w:rStyle w:val="ae"/>
          <w:rtl/>
        </w:rPr>
        <w:t>)</w:t>
      </w:r>
      <w:r>
        <w:rPr>
          <w:rStyle w:val="ae"/>
          <w:rFonts w:hint="cs"/>
          <w:vertAlign w:val="baseline"/>
          <w:rtl/>
        </w:rPr>
        <w:t>.</w:t>
      </w:r>
    </w:p>
    <w:p w:rsidR="00C563F6" w:rsidRPr="00B10D0C" w:rsidRDefault="00C563F6" w:rsidP="00C563F6">
      <w:pPr>
        <w:rPr>
          <w:rtl/>
        </w:rPr>
      </w:pPr>
      <w:r>
        <w:rPr>
          <w:rFonts w:hint="cs"/>
          <w:rtl/>
        </w:rPr>
        <w:lastRenderedPageBreak/>
        <w:t>-و أما المالكية فلم أقف على نص يصلح للإيراد هنا.</w:t>
      </w:r>
    </w:p>
    <w:p w:rsidR="00C563F6" w:rsidRDefault="00C563F6" w:rsidP="00C563F6">
      <w:pPr>
        <w:rPr>
          <w:rtl/>
        </w:rPr>
      </w:pPr>
      <w:r>
        <w:rPr>
          <w:rFonts w:hint="cs"/>
          <w:rtl/>
        </w:rPr>
        <w:t>-وقال الزركشي الشافعي في المنثور: (</w:t>
      </w:r>
      <w:r w:rsidRPr="008046AC">
        <w:rPr>
          <w:rtl/>
        </w:rPr>
        <w:t>كل من أقر بشيء ثم رجع عنه فإنه لا يقبل رجوعه إلا فيما كان حدا لله تعالى</w:t>
      </w:r>
      <w:r>
        <w:rPr>
          <w:rFonts w:hint="cs"/>
          <w:rtl/>
        </w:rPr>
        <w:t>)</w:t>
      </w:r>
      <w:r w:rsidRPr="00F75646">
        <w:rPr>
          <w:rStyle w:val="ae"/>
          <w:rtl/>
        </w:rPr>
        <w:t>(</w:t>
      </w:r>
      <w:r>
        <w:rPr>
          <w:rStyle w:val="ae"/>
          <w:rtl/>
        </w:rPr>
        <w:footnoteReference w:id="3"/>
      </w:r>
      <w:r w:rsidRPr="00F75646">
        <w:rPr>
          <w:rStyle w:val="ae"/>
          <w:rtl/>
        </w:rPr>
        <w:t>)</w:t>
      </w:r>
      <w:r>
        <w:rPr>
          <w:rFonts w:hint="cs"/>
          <w:rtl/>
        </w:rPr>
        <w:t>، وقريب منه عبارة السيوطي في الأشباه، حيث قال: (</w:t>
      </w:r>
      <w:r>
        <w:rPr>
          <w:rtl/>
        </w:rPr>
        <w:t>كل من أقر بشيء ثم رجع</w:t>
      </w:r>
      <w:r w:rsidR="007968F3">
        <w:rPr>
          <w:rtl/>
        </w:rPr>
        <w:t>،</w:t>
      </w:r>
      <w:r>
        <w:rPr>
          <w:rtl/>
        </w:rPr>
        <w:t xml:space="preserve"> لم يقبل إلا في حدود الله تعالى</w:t>
      </w:r>
      <w:r>
        <w:rPr>
          <w:rFonts w:hint="cs"/>
          <w:rtl/>
        </w:rPr>
        <w:t>)</w:t>
      </w:r>
      <w:r w:rsidRPr="00F30E37">
        <w:rPr>
          <w:rStyle w:val="ae"/>
          <w:rtl/>
        </w:rPr>
        <w:t>(</w:t>
      </w:r>
      <w:r>
        <w:rPr>
          <w:rStyle w:val="ae"/>
          <w:rtl/>
        </w:rPr>
        <w:footnoteReference w:id="4"/>
      </w:r>
      <w:r w:rsidRPr="00F30E37">
        <w:rPr>
          <w:rStyle w:val="ae"/>
          <w:rtl/>
        </w:rPr>
        <w:t>)</w:t>
      </w:r>
      <w:r>
        <w:rPr>
          <w:rFonts w:hint="cs"/>
          <w:rtl/>
        </w:rPr>
        <w:t>، و للشربيني نص آخر أوردته في الحاشية اختصاراً</w:t>
      </w:r>
      <w:r w:rsidRPr="00BE0D40">
        <w:rPr>
          <w:rStyle w:val="ae"/>
          <w:rtl/>
        </w:rPr>
        <w:t>(</w:t>
      </w:r>
      <w:r>
        <w:rPr>
          <w:rStyle w:val="ae"/>
          <w:rtl/>
        </w:rPr>
        <w:footnoteReference w:id="5"/>
      </w:r>
      <w:r w:rsidRPr="00BE0D40">
        <w:rPr>
          <w:rStyle w:val="ae"/>
          <w:rtl/>
        </w:rPr>
        <w:t>)</w:t>
      </w:r>
      <w:r>
        <w:rPr>
          <w:rFonts w:hint="cs"/>
          <w:rtl/>
        </w:rPr>
        <w:t xml:space="preserve">. </w:t>
      </w:r>
    </w:p>
    <w:p w:rsidR="00C563F6" w:rsidRDefault="00C563F6" w:rsidP="00C563F6">
      <w:pPr>
        <w:rPr>
          <w:rtl/>
        </w:rPr>
      </w:pPr>
      <w:r>
        <w:rPr>
          <w:rFonts w:hint="cs"/>
          <w:rtl/>
        </w:rPr>
        <w:t>-وقال ابن قدامة: (</w:t>
      </w:r>
      <w:r>
        <w:rPr>
          <w:rtl/>
        </w:rPr>
        <w:t>لا يقبل رجوع المقر عن إقراره إلا فيما كان حدا لله تعالى</w:t>
      </w:r>
      <w:r>
        <w:rPr>
          <w:rFonts w:hint="cs"/>
          <w:rtl/>
        </w:rPr>
        <w:t xml:space="preserve"> </w:t>
      </w:r>
      <w:r w:rsidRPr="00550ACD">
        <w:rPr>
          <w:rtl/>
        </w:rPr>
        <w:t>يدرأ بالشبهات</w:t>
      </w:r>
      <w:r>
        <w:rPr>
          <w:rtl/>
        </w:rPr>
        <w:t xml:space="preserve"> ويحتاط لإسقاطه. فأما حقوق الآدميين</w:t>
      </w:r>
      <w:r w:rsidR="007968F3">
        <w:rPr>
          <w:rtl/>
        </w:rPr>
        <w:t>،</w:t>
      </w:r>
      <w:r w:rsidRPr="00550ACD">
        <w:rPr>
          <w:rtl/>
        </w:rPr>
        <w:t xml:space="preserve"> وحقوق ا</w:t>
      </w:r>
      <w:r>
        <w:rPr>
          <w:rtl/>
        </w:rPr>
        <w:t>لله تعالى التي لا تدرأ بالشبهات</w:t>
      </w:r>
      <w:r w:rsidR="007968F3">
        <w:rPr>
          <w:rtl/>
        </w:rPr>
        <w:t>،</w:t>
      </w:r>
      <w:r w:rsidRPr="00550ACD">
        <w:rPr>
          <w:rtl/>
        </w:rPr>
        <w:t xml:space="preserve"> كالزكاة والكفارات </w:t>
      </w:r>
      <w:r w:rsidR="007968F3">
        <w:rPr>
          <w:rtl/>
        </w:rPr>
        <w:t>،</w:t>
      </w:r>
      <w:r w:rsidRPr="00550ACD">
        <w:rPr>
          <w:rtl/>
        </w:rPr>
        <w:t xml:space="preserve"> فلا يقبل رجو</w:t>
      </w:r>
      <w:r>
        <w:rPr>
          <w:rtl/>
        </w:rPr>
        <w:t>عه عنها ولا نعلم في هذا خلافا</w:t>
      </w:r>
      <w:r>
        <w:rPr>
          <w:rFonts w:hint="cs"/>
          <w:rtl/>
        </w:rPr>
        <w:t>ً)</w:t>
      </w:r>
      <w:r w:rsidRPr="00D72E14">
        <w:rPr>
          <w:rStyle w:val="ae"/>
          <w:rtl/>
        </w:rPr>
        <w:t>(</w:t>
      </w:r>
      <w:r>
        <w:rPr>
          <w:rStyle w:val="ae"/>
          <w:rtl/>
        </w:rPr>
        <w:footnoteReference w:id="6"/>
      </w:r>
      <w:r w:rsidRPr="00D72E14">
        <w:rPr>
          <w:rStyle w:val="ae"/>
          <w:rtl/>
        </w:rPr>
        <w:t>)</w:t>
      </w:r>
      <w:r w:rsidRPr="00550ACD">
        <w:rPr>
          <w:rtl/>
        </w:rPr>
        <w:t xml:space="preserve">. </w:t>
      </w:r>
      <w:r>
        <w:rPr>
          <w:rFonts w:hint="cs"/>
          <w:rtl/>
        </w:rPr>
        <w:t>وللحنابلة نصوص مشابهة تجدها في الحاشية</w:t>
      </w:r>
      <w:r w:rsidRPr="00D72E14">
        <w:rPr>
          <w:rStyle w:val="ae"/>
          <w:rtl/>
        </w:rPr>
        <w:t>(</w:t>
      </w:r>
      <w:r>
        <w:rPr>
          <w:rStyle w:val="ae"/>
          <w:rtl/>
        </w:rPr>
        <w:footnoteReference w:id="7"/>
      </w:r>
      <w:r w:rsidRPr="00D72E14">
        <w:rPr>
          <w:rStyle w:val="ae"/>
          <w:rtl/>
        </w:rPr>
        <w:t>)</w:t>
      </w:r>
      <w:r>
        <w:rPr>
          <w:rFonts w:hint="cs"/>
          <w:rtl/>
        </w:rPr>
        <w:t xml:space="preserve">. </w:t>
      </w:r>
    </w:p>
    <w:p w:rsidR="00C563F6" w:rsidRDefault="00C563F6" w:rsidP="00C563F6">
      <w:pPr>
        <w:rPr>
          <w:rtl/>
        </w:rPr>
      </w:pPr>
      <w:r>
        <w:rPr>
          <w:rFonts w:hint="cs"/>
          <w:rtl/>
        </w:rPr>
        <w:t xml:space="preserve">ومن عبارة ابن قدامة نستفيد أن الرجوع عما موجبه التعزير لا يقبل بحال، لأنه إما أن يكون التعزير لحق آدمي: وحق الآدمي لا يقبل فيه الرجوع. </w:t>
      </w:r>
    </w:p>
    <w:p w:rsidR="00C563F6" w:rsidRDefault="00C563F6" w:rsidP="00C563F6">
      <w:pPr>
        <w:rPr>
          <w:rtl/>
        </w:rPr>
      </w:pPr>
      <w:r>
        <w:rPr>
          <w:rFonts w:hint="cs"/>
          <w:rtl/>
        </w:rPr>
        <w:t xml:space="preserve">أو يكون التعزير لحق الله تعالى: فلا يقبل فيه الرجوع أيضاً؛ لأن التعزير لحق الله تعالى من الحقوق التي لا تدرأ بالشبهات، بخلاف الحدود التي تدرأ بالشبهة. للاستزاده في المقصود من الشبهة ينظر </w:t>
      </w:r>
      <w:r w:rsidRPr="006350B2">
        <w:rPr>
          <w:rFonts w:hint="cs"/>
          <w:sz w:val="32"/>
          <w:szCs w:val="32"/>
          <w:rtl/>
        </w:rPr>
        <w:t xml:space="preserve">[ </w:t>
      </w:r>
      <w:hyperlink r:id="rId10" w:history="1">
        <w:r w:rsidRPr="006350B2">
          <w:rPr>
            <w:rStyle w:val="Hyperlink"/>
            <w:sz w:val="32"/>
            <w:szCs w:val="32"/>
          </w:rPr>
          <w:t>http://twitmail.com/1FW2</w:t>
        </w:r>
      </w:hyperlink>
      <w:r w:rsidRPr="006350B2">
        <w:rPr>
          <w:rFonts w:hint="cs"/>
          <w:sz w:val="32"/>
          <w:szCs w:val="32"/>
          <w:rtl/>
        </w:rPr>
        <w:t xml:space="preserve"> ]</w:t>
      </w:r>
    </w:p>
    <w:p w:rsidR="00C563F6" w:rsidRDefault="00C563F6" w:rsidP="00C563F6">
      <w:pPr>
        <w:rPr>
          <w:rtl/>
        </w:rPr>
      </w:pPr>
      <w:r>
        <w:rPr>
          <w:rFonts w:hint="cs"/>
          <w:rtl/>
        </w:rPr>
        <w:lastRenderedPageBreak/>
        <w:t>وإنما فرقوا بين الرجوع عن الحدّ والتعزير: لأنهم يتوسعون في درأ الحدود باللبس اليسير ويجعله الجمهور قاعدة في باب الحدود؛ لما فهموه من أن الشارع يتشوف إلى درأ الحد بكل طريق، ولهم في هذا أدلة لا تسلم من معارضة.</w:t>
      </w:r>
    </w:p>
    <w:p w:rsidR="00C563F6" w:rsidRPr="00AC3F78" w:rsidRDefault="00C563F6" w:rsidP="00C563F6">
      <w:pPr>
        <w:rPr>
          <w:rtl/>
        </w:rPr>
      </w:pPr>
      <w:r>
        <w:rPr>
          <w:rFonts w:hint="cs"/>
          <w:rtl/>
        </w:rPr>
        <w:t>وأما من لا يفرق بين الحد وغيره من الحقوق التي لله تعالى أو للآدميين فلا أثر لرجوع المقر المختار مطلقاً، ومن أولئك ابن حزم، حيث يقول: (</w:t>
      </w:r>
      <w:r w:rsidRPr="00550ACD">
        <w:rPr>
          <w:rtl/>
        </w:rPr>
        <w:t>من أقر</w:t>
      </w:r>
      <w:r>
        <w:rPr>
          <w:rtl/>
        </w:rPr>
        <w:t xml:space="preserve"> لآخر </w:t>
      </w:r>
      <w:r w:rsidR="007968F3">
        <w:rPr>
          <w:rtl/>
        </w:rPr>
        <w:t>،</w:t>
      </w:r>
      <w:r>
        <w:rPr>
          <w:rtl/>
        </w:rPr>
        <w:t xml:space="preserve"> أو لله تعالى بحق في مال</w:t>
      </w:r>
      <w:r w:rsidR="007968F3">
        <w:rPr>
          <w:rtl/>
        </w:rPr>
        <w:t>،</w:t>
      </w:r>
      <w:r w:rsidRPr="00550ACD">
        <w:rPr>
          <w:rtl/>
        </w:rPr>
        <w:t xml:space="preserve"> أو دم </w:t>
      </w:r>
      <w:r w:rsidR="007968F3">
        <w:rPr>
          <w:rtl/>
        </w:rPr>
        <w:t>،</w:t>
      </w:r>
      <w:r w:rsidRPr="00550ACD">
        <w:rPr>
          <w:rtl/>
        </w:rPr>
        <w:t xml:space="preserve"> أو بشرة - وكان المقر عاقلا</w:t>
      </w:r>
      <w:r>
        <w:rPr>
          <w:rFonts w:hint="cs"/>
          <w:rtl/>
        </w:rPr>
        <w:t>ً</w:t>
      </w:r>
      <w:r w:rsidRPr="00550ACD">
        <w:rPr>
          <w:rtl/>
        </w:rPr>
        <w:t xml:space="preserve"> بالغا</w:t>
      </w:r>
      <w:r>
        <w:rPr>
          <w:rFonts w:hint="cs"/>
          <w:rtl/>
        </w:rPr>
        <w:t>ً</w:t>
      </w:r>
      <w:r w:rsidRPr="00550ACD">
        <w:rPr>
          <w:rtl/>
        </w:rPr>
        <w:t xml:space="preserve"> غير مكره - وأقر إقرارا</w:t>
      </w:r>
      <w:r>
        <w:rPr>
          <w:rFonts w:hint="cs"/>
          <w:rtl/>
        </w:rPr>
        <w:t>ً</w:t>
      </w:r>
      <w:r w:rsidRPr="00550ACD">
        <w:rPr>
          <w:rtl/>
        </w:rPr>
        <w:t xml:space="preserve"> تاما</w:t>
      </w:r>
      <w:r>
        <w:rPr>
          <w:rFonts w:hint="cs"/>
          <w:rtl/>
        </w:rPr>
        <w:t>ً</w:t>
      </w:r>
      <w:r w:rsidR="007968F3">
        <w:rPr>
          <w:rtl/>
        </w:rPr>
        <w:t>،</w:t>
      </w:r>
      <w:r w:rsidRPr="00550ACD">
        <w:rPr>
          <w:rtl/>
        </w:rPr>
        <w:t xml:space="preserve"> ولم يصل</w:t>
      </w:r>
      <w:r>
        <w:rPr>
          <w:rtl/>
        </w:rPr>
        <w:t>ه بما يفسده-: فقد لزمه</w:t>
      </w:r>
      <w:r w:rsidR="007968F3">
        <w:rPr>
          <w:rtl/>
        </w:rPr>
        <w:t>،</w:t>
      </w:r>
      <w:r>
        <w:rPr>
          <w:rtl/>
        </w:rPr>
        <w:t xml:space="preserve"> ولا رجوع له بعد ذلك</w:t>
      </w:r>
      <w:r w:rsidR="007968F3">
        <w:rPr>
          <w:rtl/>
        </w:rPr>
        <w:t>،</w:t>
      </w:r>
      <w:r w:rsidRPr="00550ACD">
        <w:rPr>
          <w:rtl/>
        </w:rPr>
        <w:t xml:space="preserve"> فإن رجع لم ينتفع برجوعه وقد لزمه ما أقر به على نفسه من دم </w:t>
      </w:r>
      <w:r w:rsidR="007968F3">
        <w:rPr>
          <w:rtl/>
        </w:rPr>
        <w:t>،</w:t>
      </w:r>
      <w:r w:rsidRPr="00550ACD">
        <w:rPr>
          <w:rtl/>
        </w:rPr>
        <w:t xml:space="preserve"> أو حد </w:t>
      </w:r>
      <w:r w:rsidR="007968F3">
        <w:rPr>
          <w:rtl/>
        </w:rPr>
        <w:t>،</w:t>
      </w:r>
      <w:r w:rsidRPr="00550ACD">
        <w:rPr>
          <w:rtl/>
        </w:rPr>
        <w:t xml:space="preserve"> أو مال</w:t>
      </w:r>
      <w:r>
        <w:rPr>
          <w:rFonts w:hint="cs"/>
          <w:rtl/>
        </w:rPr>
        <w:t>)</w:t>
      </w:r>
      <w:r w:rsidRPr="00AC3F78">
        <w:rPr>
          <w:rStyle w:val="ae"/>
          <w:rtl/>
        </w:rPr>
        <w:t>(</w:t>
      </w:r>
      <w:r>
        <w:rPr>
          <w:rStyle w:val="ae"/>
          <w:rtl/>
        </w:rPr>
        <w:footnoteReference w:id="8"/>
      </w:r>
      <w:r w:rsidRPr="00AC3F78">
        <w:rPr>
          <w:rStyle w:val="ae"/>
          <w:rtl/>
        </w:rPr>
        <w:t>)</w:t>
      </w:r>
      <w:r>
        <w:rPr>
          <w:rStyle w:val="ae"/>
          <w:rFonts w:hint="cs"/>
          <w:vertAlign w:val="baseline"/>
          <w:rtl/>
        </w:rPr>
        <w:t>.</w:t>
      </w:r>
    </w:p>
    <w:p w:rsidR="00C563F6" w:rsidRDefault="00C563F6" w:rsidP="00C563F6">
      <w:pPr>
        <w:rPr>
          <w:rtl/>
        </w:rPr>
      </w:pPr>
    </w:p>
    <w:p w:rsidR="00C563F6" w:rsidRDefault="00C563F6" w:rsidP="00E57E87">
      <w:pPr>
        <w:rPr>
          <w:rtl/>
        </w:rPr>
      </w:pPr>
      <w:r>
        <w:rPr>
          <w:rFonts w:hint="cs"/>
          <w:rtl/>
        </w:rPr>
        <w:t>نخلص مما سبق إلى: أن المقر المكلف إذا أقر بما يوجب التعزير اختياراً، ثم رجع عن إقراره فلا أثر لرجوعه قضاءً، ويستثنى من ذلك ما لو كان إقراره لعلة اطلع عليها القاضي، فحينئذٍ يُرد إقراره وإن</w:t>
      </w:r>
      <w:r w:rsidR="00025AAC">
        <w:rPr>
          <w:rFonts w:hint="cs"/>
          <w:rtl/>
        </w:rPr>
        <w:t>ْ</w:t>
      </w:r>
      <w:r>
        <w:rPr>
          <w:rFonts w:hint="cs"/>
          <w:rtl/>
        </w:rPr>
        <w:t xml:space="preserve"> كان ص</w:t>
      </w:r>
      <w:r w:rsidR="00025AAC">
        <w:rPr>
          <w:rFonts w:hint="cs"/>
          <w:rtl/>
        </w:rPr>
        <w:t>َ</w:t>
      </w:r>
      <w:r>
        <w:rPr>
          <w:rFonts w:hint="cs"/>
          <w:rtl/>
        </w:rPr>
        <w:t>د</w:t>
      </w:r>
      <w:r w:rsidR="00025AAC">
        <w:rPr>
          <w:rFonts w:hint="cs"/>
          <w:rtl/>
        </w:rPr>
        <w:t>َ</w:t>
      </w:r>
      <w:r>
        <w:rPr>
          <w:rFonts w:hint="cs"/>
          <w:rtl/>
        </w:rPr>
        <w:t>ر</w:t>
      </w:r>
      <w:r w:rsidR="00025AAC">
        <w:rPr>
          <w:rFonts w:hint="cs"/>
          <w:rtl/>
        </w:rPr>
        <w:t>َ</w:t>
      </w:r>
      <w:r>
        <w:rPr>
          <w:rFonts w:hint="cs"/>
          <w:rtl/>
        </w:rPr>
        <w:t xml:space="preserve"> حال الاختيار؛ والأصل في ذلك حديث أبي هريرة رضي الله عنه في قصة سليمان عليه السلام مع المرأتين اللاتي تنازعن في الولد، فقال سليمان عليه السلام: </w:t>
      </w:r>
      <w:r w:rsidRPr="00DA164A">
        <w:rPr>
          <w:rFonts w:hint="cs"/>
          <w:rtl/>
        </w:rPr>
        <w:t>"</w:t>
      </w:r>
      <w:r w:rsidRPr="00DA164A">
        <w:rPr>
          <w:rtl/>
        </w:rPr>
        <w:t>ائتوني بالسكين أشقه بينكما فسمحت الكبرى بذلك</w:t>
      </w:r>
      <w:r w:rsidR="007968F3">
        <w:rPr>
          <w:rtl/>
        </w:rPr>
        <w:t>،</w:t>
      </w:r>
      <w:r w:rsidRPr="00DA164A">
        <w:rPr>
          <w:rtl/>
        </w:rPr>
        <w:t xml:space="preserve"> فقالت الصغرى</w:t>
      </w:r>
      <w:r w:rsidRPr="00DA164A">
        <w:rPr>
          <w:rFonts w:hint="cs"/>
          <w:rtl/>
        </w:rPr>
        <w:t>:</w:t>
      </w:r>
      <w:r w:rsidRPr="00DA164A">
        <w:rPr>
          <w:rtl/>
        </w:rPr>
        <w:t xml:space="preserve"> لا تفعل يرحمك الله</w:t>
      </w:r>
      <w:r w:rsidR="007968F3">
        <w:rPr>
          <w:rtl/>
        </w:rPr>
        <w:t>،</w:t>
      </w:r>
      <w:r w:rsidRPr="00DA164A">
        <w:rPr>
          <w:rtl/>
        </w:rPr>
        <w:t xml:space="preserve"> </w:t>
      </w:r>
      <w:r w:rsidRPr="00DA164A">
        <w:rPr>
          <w:b/>
          <w:bCs/>
          <w:rtl/>
        </w:rPr>
        <w:t>هو ابنها</w:t>
      </w:r>
      <w:r w:rsidRPr="00DA164A">
        <w:rPr>
          <w:rFonts w:hint="cs"/>
          <w:rtl/>
        </w:rPr>
        <w:t xml:space="preserve">، </w:t>
      </w:r>
      <w:r w:rsidRPr="00DA164A">
        <w:rPr>
          <w:rtl/>
        </w:rPr>
        <w:t>فقضى به للصغرى " متفق عليه</w:t>
      </w:r>
      <w:r w:rsidRPr="00DA164A">
        <w:rPr>
          <w:rFonts w:hint="cs"/>
          <w:rtl/>
        </w:rPr>
        <w:t xml:space="preserve">. </w:t>
      </w:r>
      <w:r>
        <w:rPr>
          <w:rFonts w:hint="cs"/>
          <w:rtl/>
        </w:rPr>
        <w:t xml:space="preserve">فلم </w:t>
      </w:r>
      <w:r>
        <w:rPr>
          <w:rtl/>
        </w:rPr>
        <w:t xml:space="preserve">يعمل سليمان </w:t>
      </w:r>
      <w:r>
        <w:rPr>
          <w:rFonts w:hint="cs"/>
          <w:rtl/>
        </w:rPr>
        <w:t>بإقرار الصغرى؛</w:t>
      </w:r>
      <w:r>
        <w:rPr>
          <w:rtl/>
        </w:rPr>
        <w:t xml:space="preserve"> بل قضى به لها مع إقرارها بأنه لصاحبتها</w:t>
      </w:r>
      <w:r>
        <w:rPr>
          <w:rFonts w:hint="cs"/>
          <w:rtl/>
        </w:rPr>
        <w:t xml:space="preserve"> الكبرى</w:t>
      </w:r>
      <w:r w:rsidRPr="00A41C1A">
        <w:rPr>
          <w:rStyle w:val="ae"/>
          <w:rtl/>
        </w:rPr>
        <w:t>(</w:t>
      </w:r>
      <w:r>
        <w:rPr>
          <w:rStyle w:val="ae"/>
          <w:rtl/>
        </w:rPr>
        <w:footnoteReference w:id="9"/>
      </w:r>
      <w:r w:rsidRPr="00A41C1A">
        <w:rPr>
          <w:rStyle w:val="ae"/>
          <w:rtl/>
        </w:rPr>
        <w:t>)</w:t>
      </w:r>
      <w:r>
        <w:rPr>
          <w:rFonts w:hint="cs"/>
          <w:rtl/>
        </w:rPr>
        <w:t xml:space="preserve">، </w:t>
      </w:r>
      <w:r w:rsidRPr="00DA164A">
        <w:rPr>
          <w:rFonts w:hint="cs"/>
          <w:rtl/>
        </w:rPr>
        <w:t>يقول ابن القيم معلقاً على هذا الحديث: (</w:t>
      </w:r>
      <w:r w:rsidRPr="00DA164A">
        <w:rPr>
          <w:b/>
          <w:bCs/>
          <w:rtl/>
        </w:rPr>
        <w:t>وهذا هو الحق</w:t>
      </w:r>
      <w:r w:rsidR="007968F3">
        <w:rPr>
          <w:b/>
          <w:bCs/>
          <w:rtl/>
        </w:rPr>
        <w:t>،</w:t>
      </w:r>
      <w:r w:rsidRPr="00DA164A">
        <w:rPr>
          <w:b/>
          <w:bCs/>
          <w:rtl/>
        </w:rPr>
        <w:t xml:space="preserve"> ف</w:t>
      </w:r>
      <w:r w:rsidRPr="00DA164A">
        <w:rPr>
          <w:rFonts w:hint="cs"/>
          <w:b/>
          <w:bCs/>
          <w:rtl/>
        </w:rPr>
        <w:t>إ</w:t>
      </w:r>
      <w:r w:rsidRPr="00DA164A">
        <w:rPr>
          <w:b/>
          <w:bCs/>
          <w:rtl/>
        </w:rPr>
        <w:t>ن ال</w:t>
      </w:r>
      <w:r w:rsidRPr="00DA164A">
        <w:rPr>
          <w:rFonts w:hint="cs"/>
          <w:b/>
          <w:bCs/>
          <w:rtl/>
        </w:rPr>
        <w:t>إ</w:t>
      </w:r>
      <w:r w:rsidRPr="00DA164A">
        <w:rPr>
          <w:b/>
          <w:bCs/>
          <w:rtl/>
        </w:rPr>
        <w:t xml:space="preserve">قرار </w:t>
      </w:r>
      <w:r w:rsidRPr="00DA164A">
        <w:rPr>
          <w:rFonts w:hint="cs"/>
          <w:b/>
          <w:bCs/>
          <w:rtl/>
        </w:rPr>
        <w:t>إ</w:t>
      </w:r>
      <w:r w:rsidRPr="00DA164A">
        <w:rPr>
          <w:b/>
          <w:bCs/>
          <w:rtl/>
        </w:rPr>
        <w:t>ذا كان لعلة</w:t>
      </w:r>
      <w:r w:rsidRPr="00DA164A">
        <w:rPr>
          <w:rFonts w:hint="cs"/>
          <w:b/>
          <w:bCs/>
          <w:rtl/>
        </w:rPr>
        <w:t>ٍ</w:t>
      </w:r>
      <w:r w:rsidRPr="00DA164A">
        <w:rPr>
          <w:b/>
          <w:bCs/>
          <w:rtl/>
        </w:rPr>
        <w:t xml:space="preserve"> اطلع عليها الحاكم لم يلتفت </w:t>
      </w:r>
      <w:r w:rsidRPr="00DA164A">
        <w:rPr>
          <w:rFonts w:hint="cs"/>
          <w:b/>
          <w:bCs/>
          <w:rtl/>
        </w:rPr>
        <w:t>إ</w:t>
      </w:r>
      <w:r w:rsidRPr="00DA164A">
        <w:rPr>
          <w:b/>
          <w:bCs/>
          <w:rtl/>
        </w:rPr>
        <w:t xml:space="preserve">ليه </w:t>
      </w:r>
      <w:r w:rsidRPr="00DA164A">
        <w:rPr>
          <w:rFonts w:hint="cs"/>
          <w:b/>
          <w:bCs/>
          <w:rtl/>
        </w:rPr>
        <w:t>أ</w:t>
      </w:r>
      <w:r w:rsidRPr="00DA164A">
        <w:rPr>
          <w:b/>
          <w:bCs/>
          <w:rtl/>
        </w:rPr>
        <w:t>بدا</w:t>
      </w:r>
      <w:r w:rsidRPr="00DA164A">
        <w:rPr>
          <w:rFonts w:hint="cs"/>
          <w:b/>
          <w:bCs/>
          <w:rtl/>
        </w:rPr>
        <w:t xml:space="preserve">ً، </w:t>
      </w:r>
      <w:r w:rsidRPr="00DA164A">
        <w:rPr>
          <w:b/>
          <w:bCs/>
          <w:rtl/>
        </w:rPr>
        <w:t>ولذلك ألغينا إقرار المريض مرض الموت بمال لوارثه</w:t>
      </w:r>
      <w:r w:rsidRPr="00DA164A">
        <w:rPr>
          <w:rFonts w:hint="cs"/>
          <w:b/>
          <w:bCs/>
          <w:rtl/>
        </w:rPr>
        <w:t>؛</w:t>
      </w:r>
      <w:r w:rsidRPr="00DA164A">
        <w:rPr>
          <w:b/>
          <w:bCs/>
          <w:rtl/>
        </w:rPr>
        <w:t xml:space="preserve"> لانعقاد سبب التهمة واعتمادا</w:t>
      </w:r>
      <w:r w:rsidRPr="00DA164A">
        <w:rPr>
          <w:rFonts w:hint="cs"/>
          <w:b/>
          <w:bCs/>
          <w:rtl/>
        </w:rPr>
        <w:t>ً</w:t>
      </w:r>
      <w:r w:rsidRPr="00DA164A">
        <w:rPr>
          <w:b/>
          <w:bCs/>
          <w:rtl/>
        </w:rPr>
        <w:t xml:space="preserve"> على قرينة الحال في قصده تخصيصه</w:t>
      </w:r>
      <w:r w:rsidRPr="00DA164A">
        <w:rPr>
          <w:rFonts w:hint="cs"/>
          <w:rtl/>
        </w:rPr>
        <w:t>)</w:t>
      </w:r>
      <w:r w:rsidRPr="00DA164A">
        <w:rPr>
          <w:vertAlign w:val="superscript"/>
          <w:rtl/>
        </w:rPr>
        <w:t>(</w:t>
      </w:r>
      <w:r w:rsidRPr="00DA164A">
        <w:rPr>
          <w:vertAlign w:val="superscript"/>
          <w:rtl/>
        </w:rPr>
        <w:footnoteReference w:id="10"/>
      </w:r>
      <w:r w:rsidRPr="00DA164A">
        <w:rPr>
          <w:vertAlign w:val="superscript"/>
          <w:rtl/>
        </w:rPr>
        <w:t>)</w:t>
      </w:r>
      <w:r w:rsidR="00E57E87">
        <w:rPr>
          <w:rFonts w:hint="cs"/>
          <w:rtl/>
        </w:rPr>
        <w:t>أهـ.</w:t>
      </w:r>
    </w:p>
    <w:p w:rsidR="00E57E87" w:rsidRDefault="00E57E87">
      <w:pPr>
        <w:widowControl/>
        <w:bidi w:val="0"/>
        <w:ind w:firstLine="0"/>
        <w:jc w:val="left"/>
      </w:pPr>
      <w:r>
        <w:rPr>
          <w:rtl/>
        </w:rPr>
        <w:br w:type="page"/>
      </w:r>
    </w:p>
    <w:p w:rsidR="00F41EE0" w:rsidRDefault="00F41EE0" w:rsidP="00E57E87">
      <w:pPr>
        <w:ind w:firstLine="0"/>
        <w:rPr>
          <w:rtl/>
        </w:rPr>
      </w:pPr>
    </w:p>
    <w:p w:rsidR="00C563F6" w:rsidRPr="00DF6374" w:rsidRDefault="00C563F6" w:rsidP="00C563F6">
      <w:pPr>
        <w:jc w:val="center"/>
        <w:rPr>
          <w:b/>
          <w:bCs/>
          <w:color w:val="FF0000"/>
          <w:rtl/>
        </w:rPr>
      </w:pPr>
      <w:r w:rsidRPr="00386C88">
        <w:rPr>
          <w:rFonts w:hint="cs"/>
          <w:b/>
          <w:bCs/>
          <w:color w:val="FF0000"/>
          <w:rtl/>
        </w:rPr>
        <w:t>ثانياً: أثر رجوع المقر كرهاً فيما موجبه التعزير</w:t>
      </w:r>
    </w:p>
    <w:p w:rsidR="00C563F6" w:rsidRDefault="00C563F6" w:rsidP="00C563F6">
      <w:pPr>
        <w:rPr>
          <w:rtl/>
        </w:rPr>
      </w:pPr>
      <w:r>
        <w:rPr>
          <w:rFonts w:hint="cs"/>
          <w:rtl/>
        </w:rPr>
        <w:t xml:space="preserve">لو أقر مكلف بأمر عقوبته تعزيرية، وقد أقر بذلك مكرهاً أو دلت دلالة حاله على الإكراه كما لو كان موكلاً به أو سجيناً، ثم رجع عن إقراره بعد ذلك فهل يقبل رجوعه قضاءً؟. </w:t>
      </w:r>
    </w:p>
    <w:p w:rsidR="00C563F6" w:rsidRDefault="00C563F6" w:rsidP="00C563F6">
      <w:pPr>
        <w:rPr>
          <w:rtl/>
        </w:rPr>
      </w:pPr>
      <w:r>
        <w:rPr>
          <w:rFonts w:hint="cs"/>
          <w:rtl/>
        </w:rPr>
        <w:t xml:space="preserve">لا يخلو: </w:t>
      </w:r>
    </w:p>
    <w:p w:rsidR="00C563F6" w:rsidRDefault="00C563F6" w:rsidP="00C563F6">
      <w:pPr>
        <w:rPr>
          <w:rtl/>
        </w:rPr>
      </w:pPr>
      <w:r>
        <w:rPr>
          <w:rFonts w:hint="cs"/>
          <w:rtl/>
        </w:rPr>
        <w:t xml:space="preserve">إما أن تدل القرينة القوية على صدق إقراره أو لا. </w:t>
      </w:r>
    </w:p>
    <w:p w:rsidR="00C563F6" w:rsidRDefault="00C563F6" w:rsidP="00C563F6">
      <w:pPr>
        <w:rPr>
          <w:rtl/>
        </w:rPr>
      </w:pPr>
      <w:r>
        <w:rPr>
          <w:rFonts w:hint="cs"/>
          <w:rtl/>
        </w:rPr>
        <w:t xml:space="preserve">فإن دلت القرينة القوية على صحة الإقرار الصادر منه: عُمِل بالقرينة لا بالإقرار؛ لأن الإقرار معيب بالإكراه؛ ولأن القرائن القوية إحدى وسائل الإثبات. ودليله قصة مسك ابن أبي الحقيق، فالنبي صلى الله عليه وسلم عاقبه لأجل القرينة القوية وهي وجود المال لا لأجل الإقرار الصادر منه إكراهاً، يقول ابن القيم معلقاً على قصة ابن أبي الحقيق: </w:t>
      </w:r>
      <w:r w:rsidRPr="00DE364B">
        <w:rPr>
          <w:rFonts w:hint="cs"/>
          <w:rtl/>
        </w:rPr>
        <w:t>(</w:t>
      </w:r>
      <w:r w:rsidRPr="00DE364B">
        <w:rPr>
          <w:rtl/>
        </w:rPr>
        <w:t xml:space="preserve">وفي ذلك دليل على صحة إقرار المكره </w:t>
      </w:r>
      <w:r w:rsidRPr="00DE364B">
        <w:rPr>
          <w:b/>
          <w:bCs/>
          <w:rtl/>
        </w:rPr>
        <w:t>إذا ظهر معه المال</w:t>
      </w:r>
      <w:r w:rsidRPr="00DE364B">
        <w:rPr>
          <w:rtl/>
        </w:rPr>
        <w:t xml:space="preserve">، وأنه إذا عوقب على أن يقر بالمال المسروق، </w:t>
      </w:r>
      <w:r w:rsidRPr="00DE364B">
        <w:rPr>
          <w:b/>
          <w:bCs/>
          <w:rtl/>
        </w:rPr>
        <w:t>فأقر به وظهر عنده</w:t>
      </w:r>
      <w:r w:rsidRPr="00DE364B">
        <w:rPr>
          <w:rtl/>
        </w:rPr>
        <w:t>: قطعت يده، وهذا هو الصواب بلا ريب.</w:t>
      </w:r>
      <w:r w:rsidRPr="00DE364B">
        <w:rPr>
          <w:rFonts w:hint="cs"/>
          <w:rtl/>
        </w:rPr>
        <w:t xml:space="preserve"> </w:t>
      </w:r>
      <w:r w:rsidRPr="00DE364B">
        <w:rPr>
          <w:b/>
          <w:bCs/>
          <w:rtl/>
        </w:rPr>
        <w:t>وليس هذا إقامة للحد بالإقرار</w:t>
      </w:r>
      <w:r w:rsidRPr="00DE364B">
        <w:rPr>
          <w:rtl/>
        </w:rPr>
        <w:t xml:space="preserve"> الذي أكره عليه، </w:t>
      </w:r>
      <w:r w:rsidRPr="00DE364B">
        <w:rPr>
          <w:b/>
          <w:bCs/>
          <w:rtl/>
        </w:rPr>
        <w:t>ولكن بوجود المال المسروق معه</w:t>
      </w:r>
      <w:r w:rsidRPr="00DE364B">
        <w:rPr>
          <w:rtl/>
        </w:rPr>
        <w:t xml:space="preserve"> الذي توصل إليه بالإقرار</w:t>
      </w:r>
      <w:r w:rsidRPr="00DE364B">
        <w:rPr>
          <w:rFonts w:hint="cs"/>
          <w:rtl/>
        </w:rPr>
        <w:t>)</w:t>
      </w:r>
      <w:r w:rsidRPr="00DE364B">
        <w:rPr>
          <w:vertAlign w:val="superscript"/>
          <w:rtl/>
        </w:rPr>
        <w:t>(</w:t>
      </w:r>
      <w:r w:rsidRPr="00DE364B">
        <w:rPr>
          <w:vertAlign w:val="superscript"/>
          <w:rtl/>
        </w:rPr>
        <w:footnoteReference w:id="11"/>
      </w:r>
      <w:r w:rsidRPr="00DE364B">
        <w:rPr>
          <w:vertAlign w:val="superscript"/>
          <w:rtl/>
        </w:rPr>
        <w:t>)</w:t>
      </w:r>
      <w:r w:rsidRPr="00DE364B">
        <w:rPr>
          <w:rFonts w:hint="cs"/>
          <w:rtl/>
        </w:rPr>
        <w:t>.</w:t>
      </w:r>
      <w:r>
        <w:rPr>
          <w:rFonts w:hint="cs"/>
          <w:rtl/>
        </w:rPr>
        <w:t xml:space="preserve"> وقال ابن حزم عن الإقرار الصادر بعد الامتحان بالضرب ونحوه: </w:t>
      </w:r>
      <w:r w:rsidRPr="00247659">
        <w:rPr>
          <w:rFonts w:hint="cs"/>
          <w:rtl/>
        </w:rPr>
        <w:t>(</w:t>
      </w:r>
      <w:r w:rsidRPr="00247659">
        <w:rPr>
          <w:rtl/>
        </w:rPr>
        <w:t>أما إن لم يكن إلا إقراره فقط فليس بشيء</w:t>
      </w:r>
      <w:r w:rsidR="007968F3">
        <w:rPr>
          <w:rtl/>
        </w:rPr>
        <w:t>،</w:t>
      </w:r>
      <w:r w:rsidRPr="00247659">
        <w:rPr>
          <w:rFonts w:hint="cs"/>
          <w:rtl/>
        </w:rPr>
        <w:t>.</w:t>
      </w:r>
      <w:r>
        <w:rPr>
          <w:rFonts w:hint="cs"/>
          <w:rtl/>
        </w:rPr>
        <w:t>.</w:t>
      </w:r>
      <w:r w:rsidRPr="007F1713">
        <w:rPr>
          <w:rFonts w:hint="cs"/>
          <w:rtl/>
        </w:rPr>
        <w:t xml:space="preserve"> </w:t>
      </w:r>
      <w:r w:rsidRPr="007F1713">
        <w:rPr>
          <w:b/>
          <w:bCs/>
          <w:rtl/>
        </w:rPr>
        <w:t>فإن استضاف إلى الإقرار أمر يتحقق به يقينا</w:t>
      </w:r>
      <w:r>
        <w:rPr>
          <w:rFonts w:hint="cs"/>
          <w:b/>
          <w:bCs/>
          <w:rtl/>
        </w:rPr>
        <w:t>ً</w:t>
      </w:r>
      <w:r w:rsidRPr="007F1713">
        <w:rPr>
          <w:b/>
          <w:bCs/>
          <w:rtl/>
        </w:rPr>
        <w:t xml:space="preserve"> صحة ما أقر به</w:t>
      </w:r>
      <w:r w:rsidRPr="007F1713">
        <w:rPr>
          <w:rtl/>
        </w:rPr>
        <w:t xml:space="preserve"> - ولا يشك في أنه صاحب ذلك - فالواجب إقامة الحد عليه</w:t>
      </w:r>
      <w:r w:rsidRPr="007F1713">
        <w:rPr>
          <w:rFonts w:hint="cs"/>
          <w:rtl/>
        </w:rPr>
        <w:t>،..)</w:t>
      </w:r>
      <w:r w:rsidRPr="007F1713">
        <w:rPr>
          <w:vertAlign w:val="superscript"/>
          <w:rtl/>
        </w:rPr>
        <w:t>(</w:t>
      </w:r>
      <w:r w:rsidRPr="007F1713">
        <w:rPr>
          <w:vertAlign w:val="superscript"/>
          <w:rtl/>
        </w:rPr>
        <w:footnoteReference w:id="12"/>
      </w:r>
      <w:r w:rsidRPr="007F1713">
        <w:rPr>
          <w:vertAlign w:val="superscript"/>
          <w:rtl/>
        </w:rPr>
        <w:t>)</w:t>
      </w:r>
      <w:r w:rsidRPr="007F1713">
        <w:rPr>
          <w:rFonts w:hint="cs"/>
          <w:rtl/>
        </w:rPr>
        <w:t>.</w:t>
      </w:r>
    </w:p>
    <w:p w:rsidR="000128FD" w:rsidRDefault="000128FD" w:rsidP="00C563F6">
      <w:pPr>
        <w:rPr>
          <w:rtl/>
        </w:rPr>
      </w:pPr>
    </w:p>
    <w:p w:rsidR="00C563F6" w:rsidRPr="000128FD" w:rsidRDefault="00C563F6" w:rsidP="00C563F6">
      <w:pPr>
        <w:rPr>
          <w:rtl/>
        </w:rPr>
      </w:pPr>
      <w:r w:rsidRPr="000128FD">
        <w:rPr>
          <w:rFonts w:hint="cs"/>
          <w:rtl/>
        </w:rPr>
        <w:t>أما لو تجرد من القرينة: فلا يصح العمل بإقرار مكره في باب التعزيز بإطباق</w:t>
      </w:r>
      <w:r w:rsidR="00025AAC" w:rsidRPr="000128FD">
        <w:rPr>
          <w:rFonts w:hint="cs"/>
          <w:rtl/>
        </w:rPr>
        <w:t xml:space="preserve"> الفقهاء خلافاً للإمام سحنون من </w:t>
      </w:r>
      <w:r w:rsidRPr="000128FD">
        <w:rPr>
          <w:rFonts w:hint="cs"/>
          <w:rtl/>
        </w:rPr>
        <w:t>المالكية وقد أشرت إلى خلافه في بحث إقرار السجين [</w:t>
      </w:r>
      <w:hyperlink r:id="rId11" w:history="1">
        <w:r w:rsidRPr="000128FD">
          <w:rPr>
            <w:rStyle w:val="Hyperlink"/>
          </w:rPr>
          <w:t>http://twitmail.com/q7b</w:t>
        </w:r>
      </w:hyperlink>
      <w:r w:rsidRPr="000128FD">
        <w:rPr>
          <w:rFonts w:hint="cs"/>
          <w:rtl/>
        </w:rPr>
        <w:t>].</w:t>
      </w:r>
    </w:p>
    <w:p w:rsidR="00C563F6" w:rsidRDefault="00C563F6" w:rsidP="00C563F6">
      <w:pPr>
        <w:rPr>
          <w:rtl/>
        </w:rPr>
      </w:pPr>
      <w:r w:rsidRPr="000128FD">
        <w:rPr>
          <w:rFonts w:hint="cs"/>
          <w:rtl/>
        </w:rPr>
        <w:t>وهذا من الوضوح بحيث يُظن أنه لا يخفى على فقيه، فإن من شروط الإقرار المعتبر أن</w:t>
      </w:r>
      <w:r>
        <w:rPr>
          <w:rFonts w:hint="cs"/>
          <w:rtl/>
        </w:rPr>
        <w:t xml:space="preserve"> يكون المقر مختاراً، سواء في حقوق الآدميين أو في حقوق الله تعالى التي تسقط بالشبهة أو لا تسقط، ومتى ما تخلف شرط الاختيار عن الإقرار تجرد عن</w:t>
      </w:r>
      <w:r w:rsidR="00A24C91">
        <w:rPr>
          <w:rFonts w:hint="cs"/>
          <w:rtl/>
        </w:rPr>
        <w:t>ه</w:t>
      </w:r>
      <w:r>
        <w:rPr>
          <w:rFonts w:hint="cs"/>
          <w:rtl/>
        </w:rPr>
        <w:t xml:space="preserve"> أثره وأصبح كالمعدوم. ومن نصوص الحنابلة في هذا ما جاء في شرح المنتهى </w:t>
      </w:r>
      <w:r w:rsidRPr="00484D10">
        <w:rPr>
          <w:rFonts w:hint="cs"/>
          <w:rtl/>
        </w:rPr>
        <w:t>للبهوتي: (</w:t>
      </w:r>
      <w:r w:rsidRPr="00484D10">
        <w:rPr>
          <w:rtl/>
        </w:rPr>
        <w:t>و (لا) يصح الإقرار من (مكره عليه) للخبر</w:t>
      </w:r>
      <w:r w:rsidRPr="00484D10">
        <w:rPr>
          <w:rFonts w:hint="cs"/>
          <w:rtl/>
        </w:rPr>
        <w:t xml:space="preserve">...، </w:t>
      </w:r>
      <w:r w:rsidRPr="00484D10">
        <w:rPr>
          <w:rtl/>
        </w:rPr>
        <w:t xml:space="preserve">(وتقبل) من مقر ونحوه (دعوى إكراه) على إقرار (بقرينة) دالة على إكراه (كتوكيل به) أي ترسيم عليه أو سجنه (أو أخذ ماله أو تهديد قادر) على ما هدد به </w:t>
      </w:r>
      <w:r w:rsidRPr="00484D10">
        <w:rPr>
          <w:rtl/>
        </w:rPr>
        <w:lastRenderedPageBreak/>
        <w:t xml:space="preserve">من ضرب أو حبس أو أخذ مال ونحوه </w:t>
      </w:r>
      <w:r w:rsidR="007968F3">
        <w:rPr>
          <w:rtl/>
        </w:rPr>
        <w:t>،</w:t>
      </w:r>
      <w:r w:rsidRPr="00484D10">
        <w:rPr>
          <w:rtl/>
        </w:rPr>
        <w:t xml:space="preserve"> </w:t>
      </w:r>
      <w:r w:rsidRPr="00484D10">
        <w:rPr>
          <w:b/>
          <w:bCs/>
          <w:rtl/>
        </w:rPr>
        <w:t>لدلالة الحال عليه</w:t>
      </w:r>
      <w:r w:rsidRPr="00484D10">
        <w:rPr>
          <w:rFonts w:hint="cs"/>
          <w:rtl/>
        </w:rPr>
        <w:t>، قال في النكت: وعلى هذا تحرم الشهادة عليه وكتب حجة عليه وما أشبه ذلك في هذه الحال)</w:t>
      </w:r>
      <w:r w:rsidRPr="00484D10">
        <w:rPr>
          <w:vertAlign w:val="superscript"/>
          <w:rtl/>
        </w:rPr>
        <w:t>(</w:t>
      </w:r>
      <w:r w:rsidRPr="00484D10">
        <w:rPr>
          <w:vertAlign w:val="superscript"/>
          <w:rtl/>
        </w:rPr>
        <w:footnoteReference w:id="13"/>
      </w:r>
      <w:r w:rsidRPr="00484D10">
        <w:rPr>
          <w:vertAlign w:val="superscript"/>
          <w:rtl/>
        </w:rPr>
        <w:t>)</w:t>
      </w:r>
      <w:r w:rsidRPr="00484D10">
        <w:rPr>
          <w:rFonts w:hint="cs"/>
          <w:rtl/>
        </w:rPr>
        <w:t>.</w:t>
      </w:r>
    </w:p>
    <w:p w:rsidR="000128FD" w:rsidRDefault="000128FD" w:rsidP="00C563F6">
      <w:pPr>
        <w:rPr>
          <w:rtl/>
        </w:rPr>
      </w:pPr>
    </w:p>
    <w:p w:rsidR="000128FD" w:rsidRPr="00494023" w:rsidRDefault="000128FD" w:rsidP="00256D7B">
      <w:pPr>
        <w:rPr>
          <w:rtl/>
        </w:rPr>
      </w:pPr>
      <w:r w:rsidRPr="00494023">
        <w:rPr>
          <w:rFonts w:hint="cs"/>
          <w:rtl/>
        </w:rPr>
        <w:t>وإذا فحصنا.. فإن</w:t>
      </w:r>
      <w:r w:rsidR="00E57E87" w:rsidRPr="00494023">
        <w:rPr>
          <w:rFonts w:hint="cs"/>
          <w:rtl/>
        </w:rPr>
        <w:t>ِّ</w:t>
      </w:r>
      <w:r w:rsidRPr="00494023">
        <w:rPr>
          <w:rFonts w:hint="cs"/>
          <w:rtl/>
        </w:rPr>
        <w:t xml:space="preserve"> المقر هنا لم يرجع عن إقراره حقيقةً؛ فهو يدعي أنَّ الإقرار معدوم لاختلال أركانه، فوصفه بأنه رجوع عن الإقرار ت</w:t>
      </w:r>
      <w:r w:rsidR="00386C88" w:rsidRPr="00494023">
        <w:rPr>
          <w:rFonts w:hint="cs"/>
          <w:rtl/>
        </w:rPr>
        <w:t>َ</w:t>
      </w:r>
      <w:r w:rsidRPr="00494023">
        <w:rPr>
          <w:rFonts w:hint="cs"/>
          <w:rtl/>
        </w:rPr>
        <w:t>جو</w:t>
      </w:r>
      <w:r w:rsidR="00386C88" w:rsidRPr="00494023">
        <w:rPr>
          <w:rFonts w:hint="cs"/>
          <w:rtl/>
        </w:rPr>
        <w:t>ّ</w:t>
      </w:r>
      <w:r w:rsidRPr="00494023">
        <w:rPr>
          <w:rFonts w:hint="cs"/>
          <w:rtl/>
        </w:rPr>
        <w:t>ز في العبارة باعتبار الظاهر.</w:t>
      </w:r>
    </w:p>
    <w:p w:rsidR="007E5CCC" w:rsidRDefault="00C563F6" w:rsidP="00256D7B">
      <w:pPr>
        <w:rPr>
          <w:rtl/>
        </w:rPr>
      </w:pPr>
      <w:r w:rsidRPr="00256D7B">
        <w:rPr>
          <w:rFonts w:hint="cs"/>
          <w:rtl/>
        </w:rPr>
        <w:t>والبعض يرى أن إقرار المكره أو من شهدت له دلالة الحال على الإكراه، إذا</w:t>
      </w:r>
      <w:r w:rsidR="00256D7B" w:rsidRPr="00256D7B">
        <w:rPr>
          <w:rFonts w:hint="cs"/>
          <w:rtl/>
        </w:rPr>
        <w:t xml:space="preserve"> أخذ بقيوده</w:t>
      </w:r>
      <w:r w:rsidRPr="00256D7B">
        <w:rPr>
          <w:rFonts w:hint="cs"/>
          <w:rtl/>
        </w:rPr>
        <w:t xml:space="preserve"> إلى قاضٍ ثم صدق إقراره لديه، فإنه يسلب عنه صفة الإكراه لأنه لم </w:t>
      </w:r>
      <w:r w:rsidR="00025AAC" w:rsidRPr="00256D7B">
        <w:rPr>
          <w:rFonts w:hint="cs"/>
          <w:rtl/>
        </w:rPr>
        <w:t>يدفع بالإكراه عند القاضي في حينه</w:t>
      </w:r>
      <w:r w:rsidR="00256D7B">
        <w:rPr>
          <w:rFonts w:hint="cs"/>
          <w:rtl/>
        </w:rPr>
        <w:t>،</w:t>
      </w:r>
      <w:r w:rsidRPr="00256D7B">
        <w:rPr>
          <w:rFonts w:hint="cs"/>
          <w:rtl/>
        </w:rPr>
        <w:t xml:space="preserve"> </w:t>
      </w:r>
      <w:r w:rsidR="00256D7B" w:rsidRPr="00256D7B">
        <w:rPr>
          <w:rFonts w:hint="cs"/>
          <w:rtl/>
        </w:rPr>
        <w:t>وتناسى حالته التي هو عليها أثناء ذلك أنها من صور الإكراه.</w:t>
      </w:r>
    </w:p>
    <w:p w:rsidR="00C563F6" w:rsidRDefault="00A24C91" w:rsidP="007E5CCC">
      <w:pPr>
        <w:rPr>
          <w:rtl/>
        </w:rPr>
      </w:pPr>
      <w:r>
        <w:rPr>
          <w:rFonts w:hint="cs"/>
          <w:rtl/>
        </w:rPr>
        <w:t xml:space="preserve">فإذا ثبت امتداد الإكراه، فإنه </w:t>
      </w:r>
      <w:r w:rsidR="00C563F6">
        <w:rPr>
          <w:rFonts w:hint="cs"/>
          <w:rtl/>
        </w:rPr>
        <w:t>(</w:t>
      </w:r>
      <w:r w:rsidR="00C563F6" w:rsidRPr="001C374E">
        <w:rPr>
          <w:rtl/>
        </w:rPr>
        <w:t>مع الإكراه يغلب على الظن أنه قصد بإقراره دفع ضرر الإكراه</w:t>
      </w:r>
      <w:r w:rsidR="007968F3">
        <w:rPr>
          <w:rtl/>
        </w:rPr>
        <w:t>،</w:t>
      </w:r>
      <w:r w:rsidR="00C563F6" w:rsidRPr="001C374E">
        <w:rPr>
          <w:rtl/>
        </w:rPr>
        <w:t xml:space="preserve"> فانتفى ظن الصدق عنه</w:t>
      </w:r>
      <w:r w:rsidR="00C563F6" w:rsidRPr="001C374E">
        <w:rPr>
          <w:rFonts w:hint="cs"/>
          <w:rtl/>
        </w:rPr>
        <w:t>)</w:t>
      </w:r>
      <w:r w:rsidR="00C563F6" w:rsidRPr="001C374E">
        <w:rPr>
          <w:vertAlign w:val="superscript"/>
          <w:rtl/>
        </w:rPr>
        <w:t>(</w:t>
      </w:r>
      <w:r w:rsidR="00C563F6" w:rsidRPr="001C374E">
        <w:rPr>
          <w:vertAlign w:val="superscript"/>
          <w:rtl/>
        </w:rPr>
        <w:footnoteReference w:id="14"/>
      </w:r>
      <w:r w:rsidR="00C563F6" w:rsidRPr="001C374E">
        <w:rPr>
          <w:vertAlign w:val="superscript"/>
          <w:rtl/>
        </w:rPr>
        <w:t>)</w:t>
      </w:r>
      <w:r w:rsidR="00C563F6">
        <w:rPr>
          <w:rFonts w:hint="cs"/>
          <w:rtl/>
        </w:rPr>
        <w:t>، فكيف يقبل وهذا حاله</w:t>
      </w:r>
      <w:r w:rsidR="00256D7B">
        <w:rPr>
          <w:rFonts w:hint="cs"/>
          <w:rtl/>
        </w:rPr>
        <w:t>؟</w:t>
      </w:r>
    </w:p>
    <w:p w:rsidR="00C563F6" w:rsidRDefault="00C563F6" w:rsidP="00C563F6">
      <w:pPr>
        <w:rPr>
          <w:rtl/>
        </w:rPr>
      </w:pPr>
      <w:r>
        <w:rPr>
          <w:rFonts w:hint="cs"/>
          <w:rtl/>
        </w:rPr>
        <w:t>وقد تطرقت لهذا الإشكال في بحث إقرار السجين ونقلت هناك نصاً صريحاً للإمام السرخسي، وأنقل هنا نصاً آخر للإمام الرملي الشافعي. سئل في فتاويه: (</w:t>
      </w:r>
      <w:r w:rsidRPr="00AA043C">
        <w:rPr>
          <w:rtl/>
        </w:rPr>
        <w:t>عم</w:t>
      </w:r>
      <w:r>
        <w:rPr>
          <w:rFonts w:hint="cs"/>
          <w:rtl/>
        </w:rPr>
        <w:t>ّ</w:t>
      </w:r>
      <w:r w:rsidRPr="00AA043C">
        <w:rPr>
          <w:rtl/>
        </w:rPr>
        <w:t>ا لو أقر زيد لعمرو بشيء وأنه طائع مختار في هذا الإقرار</w:t>
      </w:r>
      <w:r>
        <w:rPr>
          <w:rFonts w:hint="cs"/>
          <w:rtl/>
        </w:rPr>
        <w:t>،</w:t>
      </w:r>
      <w:r w:rsidRPr="00AA043C">
        <w:rPr>
          <w:rtl/>
        </w:rPr>
        <w:t xml:space="preserve"> ثم قال كنت مكرها</w:t>
      </w:r>
      <w:r>
        <w:rPr>
          <w:rFonts w:hint="cs"/>
          <w:rtl/>
        </w:rPr>
        <w:t>ً</w:t>
      </w:r>
      <w:r w:rsidRPr="00AA043C">
        <w:rPr>
          <w:rtl/>
        </w:rPr>
        <w:t xml:space="preserve"> عليه ولي بينة تشهد بالإكراه</w:t>
      </w:r>
      <w:r>
        <w:rPr>
          <w:rFonts w:hint="cs"/>
          <w:rtl/>
        </w:rPr>
        <w:t xml:space="preserve">، </w:t>
      </w:r>
      <w:r w:rsidRPr="00AA043C">
        <w:rPr>
          <w:rtl/>
        </w:rPr>
        <w:t>فهل تسمع دعواه وتقبل بينته مع مخالفتهما الإقرار المذكور</w:t>
      </w:r>
      <w:r>
        <w:rPr>
          <w:rFonts w:hint="cs"/>
          <w:rtl/>
        </w:rPr>
        <w:t>،</w:t>
      </w:r>
      <w:r w:rsidRPr="00AA043C">
        <w:rPr>
          <w:rtl/>
        </w:rPr>
        <w:t xml:space="preserve"> </w:t>
      </w:r>
      <w:r>
        <w:rPr>
          <w:rtl/>
        </w:rPr>
        <w:t>سواء حكم بموجبه حاكم شرعي أم لا</w:t>
      </w:r>
      <w:r>
        <w:rPr>
          <w:rFonts w:hint="cs"/>
          <w:rtl/>
        </w:rPr>
        <w:t xml:space="preserve">، </w:t>
      </w:r>
      <w:r w:rsidRPr="00AA043C">
        <w:rPr>
          <w:rtl/>
        </w:rPr>
        <w:t>وسواء كانت هن</w:t>
      </w:r>
      <w:r>
        <w:rPr>
          <w:rtl/>
        </w:rPr>
        <w:t>اك قرينة دالة على الإكراه أم لا</w:t>
      </w:r>
      <w:r>
        <w:rPr>
          <w:rFonts w:hint="cs"/>
          <w:rtl/>
        </w:rPr>
        <w:t xml:space="preserve">. </w:t>
      </w:r>
      <w:r w:rsidRPr="00AA043C">
        <w:rPr>
          <w:rtl/>
        </w:rPr>
        <w:t>فإن قلتم تقبل وتسمع فما الجواب عما ذكره الفقهاء أن من شروط الدعوى أن لا ينافيها دعوى أخرى وأنه لو ادعى على واحد انفراده بالقتل ثم على آخر شركة أو ا</w:t>
      </w:r>
      <w:r>
        <w:rPr>
          <w:rtl/>
        </w:rPr>
        <w:t>نفرادا لم تسمع الثانية ؟</w:t>
      </w:r>
      <w:r>
        <w:rPr>
          <w:rFonts w:hint="cs"/>
          <w:rtl/>
        </w:rPr>
        <w:t>).</w:t>
      </w:r>
    </w:p>
    <w:p w:rsidR="00C563F6" w:rsidRDefault="00C563F6" w:rsidP="00C563F6">
      <w:pPr>
        <w:rPr>
          <w:rtl/>
        </w:rPr>
      </w:pPr>
      <w:r>
        <w:rPr>
          <w:rtl/>
        </w:rPr>
        <w:t>فأجاب</w:t>
      </w:r>
      <w:r>
        <w:rPr>
          <w:rFonts w:hint="cs"/>
          <w:rtl/>
        </w:rPr>
        <w:t xml:space="preserve"> رحمه الله: (</w:t>
      </w:r>
      <w:r w:rsidRPr="006350B2">
        <w:rPr>
          <w:b/>
          <w:bCs/>
          <w:rtl/>
        </w:rPr>
        <w:t>بأنه إن بين في دعواه ما أكره به وأنه أكره على الإقرار بالطواعية والاختيار وشهدت بينته كذلك سمعت دعواه وقبلت بينته</w:t>
      </w:r>
      <w:r w:rsidRPr="00AA043C">
        <w:rPr>
          <w:rtl/>
        </w:rPr>
        <w:t xml:space="preserve"> وقدمت على تلك البينة في </w:t>
      </w:r>
      <w:r>
        <w:rPr>
          <w:rtl/>
        </w:rPr>
        <w:t>جميع الأحوال المذكورة في السؤال</w:t>
      </w:r>
      <w:r>
        <w:rPr>
          <w:rFonts w:hint="cs"/>
          <w:rtl/>
        </w:rPr>
        <w:t xml:space="preserve">، </w:t>
      </w:r>
      <w:r w:rsidRPr="00AA043C">
        <w:rPr>
          <w:rtl/>
        </w:rPr>
        <w:t>وإلا فلا تسمع ولا تقبل وحينئذ</w:t>
      </w:r>
      <w:r>
        <w:rPr>
          <w:rFonts w:hint="cs"/>
          <w:rtl/>
        </w:rPr>
        <w:t>ٍ</w:t>
      </w:r>
      <w:r w:rsidRPr="00AA043C">
        <w:rPr>
          <w:rtl/>
        </w:rPr>
        <w:t xml:space="preserve"> لم يسبق من المدعي ما ينافي دعواه المسموعة إذ السابق منه على وجه الإكراه لا اعتبار به</w:t>
      </w:r>
      <w:r>
        <w:rPr>
          <w:rFonts w:hint="cs"/>
          <w:rtl/>
        </w:rPr>
        <w:t>)</w:t>
      </w:r>
      <w:r w:rsidRPr="006350B2">
        <w:rPr>
          <w:rStyle w:val="ae"/>
          <w:rtl/>
        </w:rPr>
        <w:t>(</w:t>
      </w:r>
      <w:r>
        <w:rPr>
          <w:rStyle w:val="ae"/>
          <w:rtl/>
        </w:rPr>
        <w:footnoteReference w:id="15"/>
      </w:r>
      <w:r w:rsidRPr="006350B2">
        <w:rPr>
          <w:rStyle w:val="ae"/>
          <w:rtl/>
        </w:rPr>
        <w:t>)</w:t>
      </w:r>
      <w:r>
        <w:rPr>
          <w:rFonts w:hint="cs"/>
          <w:rtl/>
        </w:rPr>
        <w:t>.</w:t>
      </w:r>
    </w:p>
    <w:p w:rsidR="00C563F6" w:rsidRPr="00F41EE0" w:rsidRDefault="00C563F6" w:rsidP="00C563F6">
      <w:pPr>
        <w:rPr>
          <w:rtl/>
        </w:rPr>
      </w:pPr>
      <w:r>
        <w:rPr>
          <w:rFonts w:hint="cs"/>
          <w:rtl/>
        </w:rPr>
        <w:t>قال القرافي: (</w:t>
      </w:r>
      <w:r w:rsidRPr="00550ACD">
        <w:rPr>
          <w:rtl/>
        </w:rPr>
        <w:t>الأصل في الإقرار اللزوم من البر والفاجر</w:t>
      </w:r>
      <w:r>
        <w:rPr>
          <w:rFonts w:hint="cs"/>
          <w:rtl/>
        </w:rPr>
        <w:t>؛</w:t>
      </w:r>
      <w:r w:rsidRPr="00550ACD">
        <w:rPr>
          <w:rtl/>
        </w:rPr>
        <w:t xml:space="preserve"> لأنه على خلاف الطبع </w:t>
      </w:r>
      <w:r>
        <w:rPr>
          <w:rFonts w:hint="cs"/>
          <w:rtl/>
        </w:rPr>
        <w:t>..،</w:t>
      </w:r>
      <w:r w:rsidRPr="00550ACD">
        <w:rPr>
          <w:rtl/>
        </w:rPr>
        <w:t xml:space="preserve"> فضابط ما لا يجوز الرجوع عنه من الإقرار</w:t>
      </w:r>
      <w:r>
        <w:rPr>
          <w:rFonts w:hint="cs"/>
          <w:rtl/>
        </w:rPr>
        <w:t>:</w:t>
      </w:r>
      <w:r w:rsidRPr="00550ACD">
        <w:rPr>
          <w:rtl/>
        </w:rPr>
        <w:t xml:space="preserve"> هو </w:t>
      </w:r>
      <w:r>
        <w:rPr>
          <w:rtl/>
        </w:rPr>
        <w:t>الرجوع الذي ليس له فيه عذر عادي</w:t>
      </w:r>
      <w:r w:rsidR="007968F3">
        <w:rPr>
          <w:rtl/>
        </w:rPr>
        <w:t>،</w:t>
      </w:r>
      <w:r w:rsidRPr="00550ACD">
        <w:rPr>
          <w:rtl/>
        </w:rPr>
        <w:t xml:space="preserve"> وضابط ما يجوز الرجوع عنه</w:t>
      </w:r>
      <w:r>
        <w:rPr>
          <w:rFonts w:hint="cs"/>
          <w:rtl/>
        </w:rPr>
        <w:t>:</w:t>
      </w:r>
      <w:r w:rsidRPr="00550ACD">
        <w:rPr>
          <w:rtl/>
        </w:rPr>
        <w:t xml:space="preserve"> أن يكون له </w:t>
      </w:r>
      <w:r w:rsidRPr="00550ACD">
        <w:rPr>
          <w:rtl/>
        </w:rPr>
        <w:lastRenderedPageBreak/>
        <w:t>في الرجوع عنه عذر عادي</w:t>
      </w:r>
      <w:r>
        <w:rPr>
          <w:rFonts w:hint="cs"/>
          <w:rtl/>
        </w:rPr>
        <w:t>)</w:t>
      </w:r>
      <w:r w:rsidRPr="001C374E">
        <w:rPr>
          <w:rStyle w:val="ae"/>
          <w:rtl/>
        </w:rPr>
        <w:t>(</w:t>
      </w:r>
      <w:r>
        <w:rPr>
          <w:rStyle w:val="ae"/>
          <w:rtl/>
        </w:rPr>
        <w:footnoteReference w:id="16"/>
      </w:r>
      <w:r w:rsidRPr="001C374E">
        <w:rPr>
          <w:rStyle w:val="ae"/>
          <w:rtl/>
        </w:rPr>
        <w:t>)</w:t>
      </w:r>
      <w:r w:rsidR="00F41EE0">
        <w:rPr>
          <w:rStyle w:val="ae"/>
          <w:rFonts w:hint="cs"/>
          <w:vertAlign w:val="baseline"/>
          <w:rtl/>
        </w:rPr>
        <w:t>.</w:t>
      </w:r>
    </w:p>
    <w:p w:rsidR="00C563F6" w:rsidRDefault="00C563F6" w:rsidP="00C563F6">
      <w:pPr>
        <w:rPr>
          <w:rtl/>
        </w:rPr>
      </w:pPr>
    </w:p>
    <w:p w:rsidR="00C563F6" w:rsidRPr="00AC1DC9" w:rsidRDefault="00C563F6" w:rsidP="00AC1DC9">
      <w:pPr>
        <w:rPr>
          <w:rtl/>
        </w:rPr>
      </w:pPr>
      <w:r w:rsidRPr="00025AAC">
        <w:rPr>
          <w:rFonts w:hint="cs"/>
          <w:b/>
          <w:bCs/>
          <w:rtl/>
        </w:rPr>
        <w:t>على كل حال:</w:t>
      </w:r>
      <w:r>
        <w:rPr>
          <w:rFonts w:hint="cs"/>
          <w:rtl/>
        </w:rPr>
        <w:t xml:space="preserve"> من الخلط الذي وقفت عليه: تنزيل نقول الفقهاء في المقر المختار على المقر المكره الذي تجرد من قرينة قوية</w:t>
      </w:r>
      <w:r w:rsidR="00AC1DC9">
        <w:rPr>
          <w:rFonts w:hint="cs"/>
          <w:rtl/>
        </w:rPr>
        <w:t xml:space="preserve">، </w:t>
      </w:r>
      <w:r w:rsidR="00025AAC">
        <w:rPr>
          <w:rFonts w:hint="cs"/>
          <w:rtl/>
        </w:rPr>
        <w:t>فَيُعْمِلون إقرار المكره ومن دلت دلالة حاله على الإكراه</w:t>
      </w:r>
      <w:r w:rsidR="00AC1DC9">
        <w:rPr>
          <w:rFonts w:hint="cs"/>
          <w:rtl/>
        </w:rPr>
        <w:t xml:space="preserve">، </w:t>
      </w:r>
      <w:r w:rsidR="00025AAC">
        <w:rPr>
          <w:rFonts w:hint="cs"/>
          <w:rtl/>
        </w:rPr>
        <w:t xml:space="preserve">ثم يسببون لإعمال الإقرار مع رجوع المقرِّ عنه: </w:t>
      </w:r>
      <w:r>
        <w:rPr>
          <w:rFonts w:hint="cs"/>
          <w:rtl/>
        </w:rPr>
        <w:t xml:space="preserve">بأنَّ </w:t>
      </w:r>
      <w:r w:rsidR="00025AAC">
        <w:rPr>
          <w:rFonts w:hint="cs"/>
          <w:rtl/>
        </w:rPr>
        <w:t>ال</w:t>
      </w:r>
      <w:r>
        <w:rPr>
          <w:rFonts w:hint="cs"/>
          <w:rtl/>
        </w:rPr>
        <w:t>إقرار موجبه التعزير، وقد نص الفقهاء على أنَّ الرجوع عن ال</w:t>
      </w:r>
      <w:r w:rsidR="00025AAC">
        <w:rPr>
          <w:rFonts w:hint="cs"/>
          <w:rtl/>
        </w:rPr>
        <w:t>إقرار فيما يوجب التعزير لا يقبل</w:t>
      </w:r>
      <w:r w:rsidR="00AC1DC9">
        <w:rPr>
          <w:rFonts w:hint="cs"/>
          <w:rtl/>
        </w:rPr>
        <w:t xml:space="preserve">، </w:t>
      </w:r>
      <w:r w:rsidR="00025AAC" w:rsidRPr="00AC1DC9">
        <w:rPr>
          <w:rFonts w:hint="cs"/>
          <w:rtl/>
        </w:rPr>
        <w:t>هكذا يخلطون.. ويُنْسَبُ للشريعة!</w:t>
      </w:r>
      <w:r w:rsidR="007E5CCC" w:rsidRPr="00AC1DC9">
        <w:rPr>
          <w:rFonts w:hint="cs"/>
          <w:rtl/>
        </w:rPr>
        <w:t xml:space="preserve"> </w:t>
      </w:r>
    </w:p>
    <w:p w:rsidR="00025AAC" w:rsidRPr="00AC1DC9" w:rsidRDefault="00025AAC" w:rsidP="00C563F6">
      <w:pPr>
        <w:rPr>
          <w:rtl/>
        </w:rPr>
      </w:pPr>
    </w:p>
    <w:p w:rsidR="00C5563F" w:rsidRDefault="00BC36D0">
      <w:r>
        <w:rPr>
          <w:rFonts w:hint="cs"/>
          <w:rtl/>
        </w:rPr>
        <w:t xml:space="preserve">انتهى المقصود وبالله التوفيق وصلى الله وسلم على نبينا محمد وعلى آله وصحبه أجمعين. </w:t>
      </w:r>
    </w:p>
    <w:sectPr w:rsidR="00C5563F" w:rsidSect="009D4D63">
      <w:headerReference w:type="even" r:id="rId12"/>
      <w:footerReference w:type="default" r:id="rId13"/>
      <w:footnotePr>
        <w:numRestart w:val="eachPage"/>
      </w:footnotePr>
      <w:pgSz w:w="11906" w:h="16838" w:code="9"/>
      <w:pgMar w:top="1134" w:right="851" w:bottom="1134" w:left="1134" w:header="709" w:footer="1134" w:gutter="0"/>
      <w:pgNumType w:start="1"/>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93F" w:rsidRDefault="0089293F" w:rsidP="00C563F6">
      <w:r>
        <w:separator/>
      </w:r>
    </w:p>
  </w:endnote>
  <w:endnote w:type="continuationSeparator" w:id="0">
    <w:p w:rsidR="0089293F" w:rsidRDefault="0089293F" w:rsidP="00C56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PT Bold Broken">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DC7" w:rsidRPr="00142A87" w:rsidRDefault="00964DC7" w:rsidP="00964DC7">
    <w:pPr>
      <w:pStyle w:val="afe"/>
      <w:tabs>
        <w:tab w:val="clear" w:pos="8306"/>
      </w:tabs>
      <w:ind w:right="-851"/>
      <w:rPr>
        <w:rtl/>
      </w:rPr>
    </w:pPr>
    <w:r>
      <w:rPr>
        <w:noProof/>
        <w:lang w:bidi="ar-SA"/>
      </w:rPr>
      <w:drawing>
        <wp:anchor distT="0" distB="0" distL="114300" distR="114300" simplePos="0" relativeHeight="251657728" behindDoc="1" locked="0" layoutInCell="1" allowOverlap="1" wp14:anchorId="4102CEDE" wp14:editId="47330E61">
          <wp:simplePos x="0" y="0"/>
          <wp:positionH relativeFrom="column">
            <wp:posOffset>-40318</wp:posOffset>
          </wp:positionH>
          <wp:positionV relativeFrom="paragraph">
            <wp:posOffset>128905</wp:posOffset>
          </wp:positionV>
          <wp:extent cx="6122670" cy="693420"/>
          <wp:effectExtent l="0" t="0" r="0" b="0"/>
          <wp:wrapTight wrapText="bothSides">
            <wp:wrapPolygon edited="0">
              <wp:start x="18616" y="0"/>
              <wp:lineTo x="0" y="2374"/>
              <wp:lineTo x="0" y="15429"/>
              <wp:lineTo x="18683" y="18989"/>
              <wp:lineTo x="20901" y="18989"/>
              <wp:lineTo x="20968" y="17802"/>
              <wp:lineTo x="20968" y="0"/>
              <wp:lineTo x="18616" y="0"/>
            </wp:wrapPolygon>
          </wp:wrapTight>
          <wp:docPr id="2" name="صورة 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4DC7" w:rsidRDefault="009D4D63">
    <w:pPr>
      <w:pStyle w:val="afc"/>
      <w:rPr>
        <w:lang w:bidi="ar-EG"/>
      </w:rPr>
    </w:pPr>
    <w:r>
      <w:rPr>
        <w:noProof/>
      </w:rPr>
      <w:pict w14:anchorId="39700AA2">
        <v:group id="مجموعة 3" o:spid="_x0000_s2051" style="position:absolute;left:0;text-align:left;margin-left:68.25pt;margin-top:766.65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">
          <v:rect id="Rectangle 20" o:spid="_x0000_s2052" style="position:absolute;left:10190;top:14378;width:548;height:720;rotation:-631987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QyvMQA&#10;AADaAAAADwAAAGRycy9kb3ducmV2LnhtbESPQWvCQBSE7wX/w/IKvRTdpEgo0VWKKAg9FLWC3h7Z&#10;Z5I2+zbsrpr8e1cQPA4z8w0znXemERdyvrasIB0lIIgLq2suFfzuVsNPED4ga2wsk4KePMxng5cp&#10;5tpeeUOXbShFhLDPUUEVQptL6YuKDPqRbYmjd7LOYIjSlVI7vEa4aeRHkmTSYM1xocKWFhUV/9uz&#10;UeDcT798zw4m7db9Ph0vdt/Z8U+pt9fuawIiUBee4Ud7rRWM4X4l3gA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UMrzEAAAA2gAAAA8AAAAAAAAAAAAAAAAAmAIAAGRycy9k&#10;b3ducmV2LnhtbFBLBQYAAAAABAAEAPUAAACJAwAAAAA=&#10;" strokecolor="#a5a5a5" strokeweight="1pt"/>
          <v:rect id="Rectangle 21" o:spid="_x0000_s2053" style="position:absolute;left:10190;top:14378;width:548;height:720;rotation:-5392142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fR4cQA&#10;AADaAAAADwAAAGRycy9kb3ducmV2LnhtbESPT2vCQBTE7wW/w/KE3urGgm2MbkQsQr2UGgWvz+wz&#10;f8y+DdmtSb99tyB4HGbmN8xyNZhG3KhzlWUF00kEgji3uuJCwfGwfYlBOI+ssbFMCn7JwSodPS0x&#10;0bbnPd0yX4gAYZeggtL7NpHS5SUZdBPbEgfvYjuDPsiukLrDPsBNI1+j6E0arDgslNjSpqT8mv0Y&#10;BcbHp+/dV3Z4/9hNi3Oc1fN+Xyv1PB7WCxCeBv8I39ufWsEM/q+EGy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H0eHEAAAA2gAAAA8AAAAAAAAAAAAAAAAAmAIAAGRycy9k&#10;b3ducmV2LnhtbFBLBQYAAAAABAAEAPUAAACJAwAAAAA=&#10;" strokecolor="#a5a5a5" strokeweight="1pt"/>
          <v:rect id="Rectangle 22" o:spid="_x0000_s2054" style="position:absolute;left:10190;top:14378;width:548;height:72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UkEMQA&#10;AADaAAAADwAAAGRycy9kb3ducmV2LnhtbESPzWrDMBCE74G+g9hCb4lcU0ziRgnBuJCSXuL00ONi&#10;rX+ItXItxXbfPioUehxm5htmu59NJ0YaXGtZwfMqAkFcWt1yreDz8rZcg3AeWWNnmRT8kIP97mGx&#10;xVTbic80Fr4WAcIuRQWN930qpSsbMuhWticOXmUHgz7IoZZ6wCnATSfjKEqkwZbDQoM9ZQ2V1+Jm&#10;FFQf71m1ab+jqzV50senr0M+vij19DgfXkF4mv1/+K991AoS+L0SboD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FJBDEAAAA2gAAAA8AAAAAAAAAAAAAAAAAmAIAAGRycy9k&#10;b3ducmV2LnhtbFBLBQYAAAAABAAEAPUAAACJAwAAAAA=&#10;" strokecolor="#a5a5a5" strokeweight="1pt">
            <v:textbox>
              <w:txbxContent>
                <w:p w:rsidR="00964DC7" w:rsidRPr="00A74C62" w:rsidRDefault="00964DC7" w:rsidP="00964DC7">
                  <w:pPr>
                    <w:pStyle w:val="afe"/>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00860D49" w:rsidRPr="00860D49">
                    <w:rPr>
                      <w:rFonts w:ascii="Tahoma" w:hAnsi="Tahoma" w:cs="Tahoma"/>
                      <w:b/>
                      <w:bCs/>
                      <w:noProof/>
                      <w:rtl/>
                      <w:lang w:val="ar-SA"/>
                    </w:rPr>
                    <w:t>7</w:t>
                  </w:r>
                  <w:r w:rsidRPr="00A74C62">
                    <w:rPr>
                      <w:rFonts w:ascii="Tahoma" w:hAnsi="Tahoma" w:cs="Tahoma"/>
                      <w:b/>
                      <w:bCs/>
                    </w:rPr>
                    <w:fldChar w:fldCharType="end"/>
                  </w:r>
                </w:p>
              </w:txbxContent>
            </v:textbox>
          </v:rect>
          <w10:wrap anchorx="page" anchory="page"/>
        </v:group>
      </w:pict>
    </w:r>
    <w:r w:rsidR="0089293F">
      <w:rPr>
        <w:noProof/>
      </w:rPr>
      <w:pict w14:anchorId="1A54C47E">
        <v:shapetype id="_x0000_t202" coordsize="21600,21600" o:spt="202" path="m,l,21600r21600,l21600,xe">
          <v:stroke joinstyle="miter"/>
          <v:path gradientshapeok="t" o:connecttype="rect"/>
        </v:shapetype>
        <v:shape id="مربع نص 2" o:spid="_x0000_s2056" type="#_x0000_t202" style="position:absolute;left:0;text-align:left;margin-left:185.6pt;margin-top:7.25pt;width:135.15pt;height:26.8pt;flip:x;z-index:-251655168;visibility:visible;mso-wrap-distance-top:3.6pt;mso-wrap-distance-bottom:3.6pt;mso-width-relative:margin;mso-height-relative:margin"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qovwIAAGM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" filled="f" strokecolor="white">
          <v:textbox>
            <w:txbxContent>
              <w:p w:rsidR="00964DC7" w:rsidRDefault="0089293F" w:rsidP="00964DC7">
                <w:pPr>
                  <w:rPr>
                    <w:rtl/>
                    <w:lang w:bidi="ar-EG"/>
                  </w:rPr>
                </w:pPr>
                <w:hyperlink r:id="rId2" w:history="1">
                  <w:r w:rsidR="00964DC7" w:rsidRPr="00C01086">
                    <w:rPr>
                      <w:rStyle w:val="Hyperlink"/>
                      <w:sz w:val="26"/>
                      <w:szCs w:val="26"/>
                    </w:rPr>
                    <w:t>www.alukah.net</w:t>
                  </w:r>
                </w:hyperlink>
              </w:p>
            </w:txbxContent>
          </v:textbox>
          <w10:wrap type="tight"/>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93F" w:rsidRDefault="0089293F" w:rsidP="00C563F6">
      <w:r>
        <w:separator/>
      </w:r>
    </w:p>
  </w:footnote>
  <w:footnote w:type="continuationSeparator" w:id="0">
    <w:p w:rsidR="0089293F" w:rsidRDefault="0089293F" w:rsidP="00C563F6">
      <w:r>
        <w:continuationSeparator/>
      </w:r>
    </w:p>
  </w:footnote>
  <w:footnote w:id="1">
    <w:p w:rsidR="003251BD" w:rsidRPr="003251BD" w:rsidRDefault="003251BD" w:rsidP="003251BD">
      <w:pPr>
        <w:pStyle w:val="af3"/>
        <w:rPr>
          <w:rFonts w:ascii="Tahoma" w:hAnsi="Tahoma"/>
          <w:rtl/>
        </w:rPr>
      </w:pPr>
      <w:r w:rsidRPr="003251BD">
        <w:rPr>
          <w:rFonts w:ascii="Tahoma" w:hAnsi="Tahoma"/>
          <w:rtl/>
        </w:rPr>
        <w:t>(</w:t>
      </w:r>
      <w:r w:rsidRPr="003251BD">
        <w:rPr>
          <w:rStyle w:val="ae"/>
          <w:rFonts w:ascii="Tahoma" w:hAnsi="Tahoma"/>
          <w:vertAlign w:val="baseline"/>
        </w:rPr>
        <w:footnoteRef/>
      </w:r>
      <w:r w:rsidRPr="003251BD">
        <w:rPr>
          <w:rFonts w:ascii="Tahoma" w:hAnsi="Tahoma"/>
          <w:rtl/>
        </w:rPr>
        <w:t>)</w:t>
      </w:r>
      <w:r w:rsidR="001878D4">
        <w:rPr>
          <w:rFonts w:ascii="Tahoma" w:hAnsi="Tahoma" w:hint="cs"/>
          <w:rtl/>
        </w:rPr>
        <w:t>ممن راجع البحث مشكوراً زميل فاضل، يرى أن التعزير إذا كان لحق الله تعالى خالصاً فيقبل رجوع المقر المختار كالحد، وهذا رأيه بنصه، يقول جزاه الله خيراً: (</w:t>
      </w:r>
      <w:r w:rsidRPr="003251BD">
        <w:rPr>
          <w:rFonts w:ascii="Tahoma" w:hAnsi="Tahoma"/>
          <w:rtl/>
        </w:rPr>
        <w:t>من وجهة نظري أن العقوبات تنقسم إلى قسمين 1-ما كانت حقاً خالصاً لله تعالى 2- ما كانت حقاً لله تعالى وتعلق بها حق للعبد ضمنياً 3- ما كانت حقاً خالصاً للعبد فالأول مثل حد الزنا والثاني مثل كفارة اليمين والظهار والثالث مثل حد القذف وتعزير من قال لغيره يا ظالم ونحوه.</w:t>
      </w:r>
    </w:p>
    <w:p w:rsidR="003251BD" w:rsidRPr="003251BD" w:rsidRDefault="003251BD" w:rsidP="003251BD">
      <w:pPr>
        <w:pStyle w:val="af3"/>
        <w:ind w:firstLine="266"/>
        <w:rPr>
          <w:rFonts w:ascii="Tahoma" w:hAnsi="Tahoma"/>
          <w:rtl/>
        </w:rPr>
      </w:pPr>
      <w:r w:rsidRPr="003251BD">
        <w:rPr>
          <w:rFonts w:ascii="Tahoma" w:hAnsi="Tahoma"/>
          <w:rtl/>
        </w:rPr>
        <w:t>فأما القسمان الثاني والثالث فلا يصح الرجوع في الإقرار عما يثبتهما لأن حق العبد غير مبني على العفو والتسامح ولا يقبل الإسقاط بالتوبة ونحوها. ونصوص الفقهاء رحمهم الله تعالى على عدم صحة الرجوع ظاهرة كما نقلتم</w:t>
      </w:r>
      <w:r>
        <w:rPr>
          <w:rFonts w:ascii="Tahoma" w:hAnsi="Tahoma" w:hint="cs"/>
          <w:rtl/>
        </w:rPr>
        <w:t>.</w:t>
      </w:r>
    </w:p>
    <w:p w:rsidR="003251BD" w:rsidRPr="003251BD" w:rsidRDefault="003251BD" w:rsidP="003251BD">
      <w:pPr>
        <w:pStyle w:val="af3"/>
        <w:ind w:firstLine="266"/>
        <w:rPr>
          <w:rFonts w:ascii="Tahoma" w:hAnsi="Tahoma"/>
          <w:rtl/>
        </w:rPr>
      </w:pPr>
      <w:r w:rsidRPr="003251BD">
        <w:rPr>
          <w:rFonts w:ascii="Tahoma" w:hAnsi="Tahoma"/>
          <w:rtl/>
        </w:rPr>
        <w:t>وأما القسم الأول فينقسم إلى قسمين أيضاً 1- ما كانت عقوبته مقدرةً شرعاً وهو الحد 2- ما كانت عقوبته غير مقدرة شرعاً وهو التعزير</w:t>
      </w:r>
      <w:r w:rsidR="007968F3">
        <w:rPr>
          <w:rFonts w:ascii="Tahoma" w:hAnsi="Tahoma"/>
          <w:rtl/>
        </w:rPr>
        <w:t>.</w:t>
      </w:r>
    </w:p>
    <w:p w:rsidR="003251BD" w:rsidRPr="003251BD" w:rsidRDefault="003251BD" w:rsidP="003251BD">
      <w:pPr>
        <w:pStyle w:val="af3"/>
        <w:ind w:firstLine="266"/>
        <w:rPr>
          <w:rFonts w:ascii="Tahoma" w:hAnsi="Tahoma"/>
          <w:rtl/>
        </w:rPr>
      </w:pPr>
      <w:r w:rsidRPr="003251BD">
        <w:rPr>
          <w:rFonts w:ascii="Tahoma" w:hAnsi="Tahoma"/>
          <w:rtl/>
        </w:rPr>
        <w:t xml:space="preserve">فأما القسم الأول فالرجوع عن الإقرار بما يوجبه صحيح عند جمهور الفقهاء مطلقاً وعند غيرهم لا يصح إلا في حالات معينة. </w:t>
      </w:r>
    </w:p>
    <w:p w:rsidR="003251BD" w:rsidRPr="003251BD" w:rsidRDefault="003251BD" w:rsidP="003251BD">
      <w:pPr>
        <w:pStyle w:val="af3"/>
        <w:ind w:firstLine="266"/>
        <w:rPr>
          <w:rFonts w:ascii="Tahoma" w:hAnsi="Tahoma"/>
          <w:rtl/>
        </w:rPr>
      </w:pPr>
      <w:r w:rsidRPr="003251BD">
        <w:rPr>
          <w:rFonts w:ascii="Tahoma" w:hAnsi="Tahoma"/>
          <w:rtl/>
        </w:rPr>
        <w:t>وأما القسم الثاني فالذي يظهر أنه ملحق بالقسم الأول عند الحنابلة رحمهم الله تعالى بظاهر نصوصهم قال في الكافي</w:t>
      </w:r>
      <w:r w:rsidR="007968F3">
        <w:rPr>
          <w:rFonts w:ascii="Tahoma" w:hAnsi="Tahoma"/>
          <w:rtl/>
        </w:rPr>
        <w:t>:</w:t>
      </w:r>
      <w:r w:rsidRPr="003251BD">
        <w:rPr>
          <w:rFonts w:ascii="Tahoma" w:hAnsi="Tahoma"/>
          <w:rtl/>
        </w:rPr>
        <w:t xml:space="preserve">( باب الرجوع عن الإقرار </w:t>
      </w:r>
    </w:p>
    <w:p w:rsidR="003251BD" w:rsidRPr="003251BD" w:rsidRDefault="003251BD" w:rsidP="003251BD">
      <w:pPr>
        <w:pStyle w:val="af3"/>
        <w:ind w:firstLine="266"/>
        <w:rPr>
          <w:rFonts w:ascii="Tahoma" w:hAnsi="Tahoma"/>
          <w:rtl/>
        </w:rPr>
      </w:pPr>
      <w:r w:rsidRPr="003251BD">
        <w:rPr>
          <w:rFonts w:ascii="Tahoma" w:hAnsi="Tahoma"/>
          <w:rtl/>
        </w:rPr>
        <w:t>ومن أقر بحق لآدمي أو حق لله تعالى لا تسقطه الشبهة كالزكاة والكفارة ثم رجع عن إقراره لم يقبل رجوعه لأنه حق ثبت لغيره فلم يسقط بغير رضاه كما لو ثبت بالبينة)أهـ فالجار والمجرور في قوله</w:t>
      </w:r>
      <w:r w:rsidR="0025092A">
        <w:rPr>
          <w:rFonts w:ascii="Tahoma" w:hAnsi="Tahoma" w:hint="cs"/>
          <w:rtl/>
        </w:rPr>
        <w:t xml:space="preserve"> </w:t>
      </w:r>
      <w:r w:rsidRPr="003251BD">
        <w:rPr>
          <w:rFonts w:ascii="Tahoma" w:hAnsi="Tahoma"/>
          <w:rtl/>
        </w:rPr>
        <w:t>"كالزكاة والكفارة" م</w:t>
      </w:r>
      <w:r w:rsidR="00386C88">
        <w:rPr>
          <w:rFonts w:ascii="Tahoma" w:hAnsi="Tahoma"/>
          <w:rtl/>
        </w:rPr>
        <w:t xml:space="preserve">تعلق بمحذوف حال والرابط بينهما </w:t>
      </w:r>
      <w:r w:rsidR="00386C88">
        <w:rPr>
          <w:rFonts w:ascii="Tahoma" w:hAnsi="Tahoma" w:hint="cs"/>
          <w:rtl/>
        </w:rPr>
        <w:t>ك</w:t>
      </w:r>
      <w:r w:rsidRPr="003251BD">
        <w:rPr>
          <w:rFonts w:ascii="Tahoma" w:hAnsi="Tahoma"/>
          <w:rtl/>
        </w:rPr>
        <w:t>ون كل واحد منهما متعلق به شيء من حق العبد وليست حقاً خالصاً لله تعالى ولا يوج</w:t>
      </w:r>
      <w:r w:rsidR="00386C88">
        <w:rPr>
          <w:rFonts w:ascii="Tahoma" w:hAnsi="Tahoma"/>
          <w:rtl/>
        </w:rPr>
        <w:t>د نص لديهم لا يصحح الرجوع عن ال</w:t>
      </w:r>
      <w:r w:rsidR="00386C88">
        <w:rPr>
          <w:rFonts w:ascii="Tahoma" w:hAnsi="Tahoma" w:hint="cs"/>
          <w:rtl/>
        </w:rPr>
        <w:t>إ</w:t>
      </w:r>
      <w:r w:rsidRPr="003251BD">
        <w:rPr>
          <w:rFonts w:ascii="Tahoma" w:hAnsi="Tahoma"/>
          <w:rtl/>
        </w:rPr>
        <w:t>قرار بما يوجب حق الله تعالى سوى الزكاة والكفارة والعلة فيها ما سبق من تعلق حق العبد بها أيضاً ويمكن أن يقال إن العلة فيها كونها عقوبات ليست بدنية وهو ما يمكن استنباطه من كلامهم في قبول شهادة العبد في القصاص قال في الشرح الكبير:( وفي القصاص احتمالان أحدهما تقبل شهادته فيه لأ</w:t>
      </w:r>
      <w:r w:rsidR="00386C88">
        <w:rPr>
          <w:rFonts w:ascii="Tahoma" w:hAnsi="Tahoma"/>
          <w:rtl/>
        </w:rPr>
        <w:t>نه حق آدمي ولا يصح الرجوع عن ال</w:t>
      </w:r>
      <w:r w:rsidR="00386C88">
        <w:rPr>
          <w:rFonts w:ascii="Tahoma" w:hAnsi="Tahoma" w:hint="cs"/>
          <w:rtl/>
        </w:rPr>
        <w:t>إ</w:t>
      </w:r>
      <w:r w:rsidRPr="003251BD">
        <w:rPr>
          <w:rFonts w:ascii="Tahoma" w:hAnsi="Tahoma"/>
          <w:rtl/>
        </w:rPr>
        <w:t>قرار به أشبه الأموال والثاني لا تقبل لأنه عقوبة بدنية تدرأ بالشبهات فأشبه الحد)أهـ إلا أنه يلزم من ذلك القول بعدم قبول الرجوع عما يوجب التعزير بالمال مطلقاً.</w:t>
      </w:r>
    </w:p>
    <w:p w:rsidR="003251BD" w:rsidRPr="003251BD" w:rsidRDefault="003251BD" w:rsidP="003251BD">
      <w:pPr>
        <w:pStyle w:val="af3"/>
        <w:ind w:firstLine="266"/>
        <w:rPr>
          <w:rFonts w:ascii="Tahoma" w:hAnsi="Tahoma"/>
          <w:rtl/>
        </w:rPr>
      </w:pPr>
      <w:r w:rsidRPr="003251BD">
        <w:rPr>
          <w:rFonts w:ascii="Tahoma" w:hAnsi="Tahoma"/>
          <w:rtl/>
        </w:rPr>
        <w:t>وأما بقية الفقهاء رحمهم الله تعالى فالذي يظهر من تعليلاتهم أنهم يرون التعزير لحق الله تعالى ملحق بالحدود عدا الشافعية حيث وجدت نصين بالحاوي ظاهرهما شيء من التناقض حيث جاء في الحاوي الكبير</w:t>
      </w:r>
      <w:r w:rsidR="007968F3">
        <w:rPr>
          <w:rFonts w:ascii="Tahoma" w:hAnsi="Tahoma"/>
          <w:rtl/>
        </w:rPr>
        <w:t>:</w:t>
      </w:r>
      <w:r w:rsidRPr="003251BD">
        <w:rPr>
          <w:rFonts w:ascii="Tahoma" w:hAnsi="Tahoma"/>
          <w:rtl/>
        </w:rPr>
        <w:t xml:space="preserve"> (فَإِذَا ثَبَتَ سُقُوطُ الْحَدِّ نُظِرَ</w:t>
      </w:r>
      <w:r w:rsidR="007968F3">
        <w:rPr>
          <w:rFonts w:ascii="Tahoma" w:hAnsi="Tahoma"/>
          <w:rtl/>
        </w:rPr>
        <w:t>،</w:t>
      </w:r>
      <w:r w:rsidRPr="003251BD">
        <w:rPr>
          <w:rFonts w:ascii="Tahoma" w:hAnsi="Tahoma"/>
          <w:rtl/>
        </w:rPr>
        <w:t xml:space="preserve"> فَإِنْ عَلِمَ بِالتَّحْرِيمِ عُزِّرَ ؛ لِأَنَّ الشُّبْهَةَ لَا تَمْنَعُ مِنَ التَّعْزِيرِ وَإِنْ مَنَعَتِ الْحَدَّ لِحَظْرِ الْإِقْدَامِ عَلَى الشُّبُهَاتِ</w:t>
      </w:r>
      <w:r w:rsidR="007968F3">
        <w:rPr>
          <w:rFonts w:ascii="Tahoma" w:hAnsi="Tahoma"/>
          <w:rtl/>
        </w:rPr>
        <w:t>،</w:t>
      </w:r>
      <w:r w:rsidRPr="003251BD">
        <w:rPr>
          <w:rFonts w:ascii="Tahoma" w:hAnsi="Tahoma"/>
          <w:rtl/>
        </w:rPr>
        <w:t xml:space="preserve"> وَإِنْ لَمْ يَعْلَمْ بِالتَّحْرِيمِ فَلَا حَدَّ عَلَيْهِ وَلَا تَعْزِيرَ) كما جاء في موضع آخر أيضاً: (لِأَنَّهُ لَمَّا كَانَتِ الشُّبْهَةُ مُسْقِطَةً لِلْحَدِّ فَأَوْلَى أَنْ تُسْقِطَ التَّعْزِيرَ).</w:t>
      </w:r>
    </w:p>
    <w:p w:rsidR="003251BD" w:rsidRPr="003251BD" w:rsidRDefault="003251BD" w:rsidP="003251BD">
      <w:pPr>
        <w:pStyle w:val="af3"/>
        <w:ind w:firstLine="266"/>
        <w:rPr>
          <w:rFonts w:ascii="Tahoma" w:hAnsi="Tahoma"/>
          <w:rtl/>
        </w:rPr>
      </w:pPr>
      <w:r w:rsidRPr="000B6BF6">
        <w:rPr>
          <w:rFonts w:ascii="Tahoma" w:hAnsi="Tahoma"/>
          <w:b/>
          <w:bCs/>
          <w:rtl/>
        </w:rPr>
        <w:t>والذي يظهر أن الرجوع عن الإقرار الموجب للتعزير لحق الله تعالى يأخذ حكم الرجوع عن الإقرار الموجب للحد لحق الله تعالى الخالص لأن العلة في صحة الرجوع عن الإقرار بما يوجب الحد كون الرجوع شبهة وهذا ثابت في الرجوع عن الإقرار بما يوجب التعزير لحق الله تعالى الخالص</w:t>
      </w:r>
      <w:r w:rsidRPr="003251BD">
        <w:rPr>
          <w:rFonts w:ascii="Tahoma" w:hAnsi="Tahoma"/>
          <w:rtl/>
        </w:rPr>
        <w:t xml:space="preserve"> أيضاً بدليل أنه لا يستحلف فيها ولا تصح فيها كتابة القاضي إلى القاضي ونحو ذلك. ومن نصوصهم على كون الشبهة مسقطة للتعزير لحق الله تعالى:</w:t>
      </w:r>
    </w:p>
    <w:p w:rsidR="003251BD" w:rsidRPr="003251BD" w:rsidRDefault="003251BD" w:rsidP="007968F3">
      <w:pPr>
        <w:pStyle w:val="af3"/>
        <w:ind w:firstLine="266"/>
        <w:rPr>
          <w:rFonts w:ascii="Tahoma" w:hAnsi="Tahoma"/>
          <w:rtl/>
        </w:rPr>
      </w:pPr>
      <w:r w:rsidRPr="003251BD">
        <w:rPr>
          <w:rFonts w:ascii="Tahoma" w:hAnsi="Tahoma"/>
          <w:rtl/>
        </w:rPr>
        <w:t xml:space="preserve">قال في الحاوي الكبير:( (لِأَنَّهُ لَمَّا كَانَتِ الشُّبْهَةُ مُسْقِطَةً لِلْحَدِّ فَأَوْلَى أَنْ تُسْقِطَ التَّعْزِيرَ).  </w:t>
      </w:r>
    </w:p>
    <w:p w:rsidR="003251BD" w:rsidRPr="003251BD" w:rsidRDefault="003251BD" w:rsidP="003251BD">
      <w:pPr>
        <w:pStyle w:val="af3"/>
        <w:ind w:firstLine="266"/>
        <w:rPr>
          <w:rFonts w:ascii="Tahoma" w:hAnsi="Tahoma"/>
          <w:rtl/>
        </w:rPr>
      </w:pPr>
      <w:r w:rsidRPr="003251BD">
        <w:rPr>
          <w:rFonts w:ascii="Tahoma" w:hAnsi="Tahoma"/>
          <w:rtl/>
        </w:rPr>
        <w:t>وقال في الشرح الكبير والمغني</w:t>
      </w:r>
      <w:r w:rsidR="007968F3">
        <w:rPr>
          <w:rFonts w:ascii="Tahoma" w:hAnsi="Tahoma"/>
          <w:rtl/>
        </w:rPr>
        <w:t>:</w:t>
      </w:r>
      <w:r w:rsidRPr="003251BD">
        <w:rPr>
          <w:rFonts w:ascii="Tahoma" w:hAnsi="Tahoma"/>
          <w:rtl/>
        </w:rPr>
        <w:t xml:space="preserve">( (ولا يجوز ان يقضي فيه بالنكول الذي هو في نفسه شبهة لا يقضي به في شئ من الحدود ولا العقوبات ) </w:t>
      </w:r>
    </w:p>
    <w:p w:rsidR="003251BD" w:rsidRPr="003251BD" w:rsidRDefault="003251BD" w:rsidP="003251BD">
      <w:pPr>
        <w:pStyle w:val="af3"/>
        <w:ind w:firstLine="266"/>
        <w:rPr>
          <w:rFonts w:ascii="Tahoma" w:hAnsi="Tahoma" w:hint="cs"/>
          <w:rtl/>
          <w:lang w:bidi="ar-EG"/>
        </w:rPr>
      </w:pPr>
      <w:r w:rsidRPr="003251BD">
        <w:rPr>
          <w:rFonts w:ascii="Tahoma" w:hAnsi="Tahoma"/>
          <w:rtl/>
        </w:rPr>
        <w:t>وقال في البحر الرائق (ال</w:t>
      </w:r>
      <w:r w:rsidR="007968F3">
        <w:rPr>
          <w:rFonts w:ascii="Tahoma" w:hAnsi="Tahoma"/>
          <w:rtl/>
        </w:rPr>
        <w:t>ْحَدَّ يَنْدَرِئُ بِالشُّبْهَةِ</w:t>
      </w:r>
      <w:r w:rsidRPr="003251BD">
        <w:rPr>
          <w:rFonts w:ascii="Tahoma" w:hAnsi="Tahoma"/>
          <w:rtl/>
        </w:rPr>
        <w:t>؛ لِأَنَّهُ حَقُّ اللَّهِ تَعَالَى وَحُرْمَةُ الْأُبُوَّةِ شُبْهَةٌ صَالِحَةٌ لِلدَّرْءِ وَالتَّعْزِيرُ خَالِصُ حَقِّ الْعَبْدِ وَهُوَ لَا يَنْدَرِئُ بِالشُّبْهَةِ وَلَا يَلْزَمُ مِنْ سُقُوطِ الْأَدْنَى سُقُوطُ الْأَعْلَى</w:t>
      </w:r>
      <w:r w:rsidR="007968F3">
        <w:rPr>
          <w:rFonts w:ascii="Tahoma" w:hAnsi="Tahoma"/>
          <w:rtl/>
        </w:rPr>
        <w:t>.</w:t>
      </w:r>
      <w:r w:rsidRPr="003251BD">
        <w:rPr>
          <w:rFonts w:ascii="Tahoma" w:hAnsi="Tahoma"/>
          <w:rtl/>
        </w:rPr>
        <w:t xml:space="preserve">) </w:t>
      </w:r>
    </w:p>
    <w:p w:rsidR="003251BD" w:rsidRPr="003251BD" w:rsidRDefault="003251BD" w:rsidP="003251BD">
      <w:pPr>
        <w:pStyle w:val="af3"/>
        <w:ind w:firstLine="266"/>
        <w:rPr>
          <w:rFonts w:ascii="Tahoma" w:hAnsi="Tahoma"/>
          <w:rtl/>
        </w:rPr>
      </w:pPr>
      <w:r w:rsidRPr="003251BD">
        <w:rPr>
          <w:rFonts w:ascii="Tahoma" w:hAnsi="Tahoma"/>
          <w:rtl/>
        </w:rPr>
        <w:t xml:space="preserve">وقال في المبسوط للسرخسي 24/301 (وَالْعُقُوبَةُ تَسْقُطُ بِالشُّبْهَةِ ) </w:t>
      </w:r>
    </w:p>
    <w:p w:rsidR="003251BD" w:rsidRPr="003251BD" w:rsidRDefault="003251BD" w:rsidP="003251BD">
      <w:pPr>
        <w:pStyle w:val="af3"/>
        <w:ind w:firstLine="266"/>
        <w:rPr>
          <w:rFonts w:ascii="Tahoma" w:hAnsi="Tahoma"/>
          <w:rtl/>
        </w:rPr>
      </w:pPr>
      <w:r w:rsidRPr="003251BD">
        <w:rPr>
          <w:rFonts w:ascii="Tahoma" w:hAnsi="Tahoma"/>
          <w:rtl/>
        </w:rPr>
        <w:t>قال في الاختيار لتعليل المختار</w:t>
      </w:r>
      <w:r w:rsidR="007968F3">
        <w:rPr>
          <w:rFonts w:ascii="Tahoma" w:hAnsi="Tahoma"/>
          <w:rtl/>
        </w:rPr>
        <w:t>:</w:t>
      </w:r>
      <w:r w:rsidRPr="003251BD">
        <w:rPr>
          <w:rFonts w:ascii="Tahoma" w:hAnsi="Tahoma"/>
          <w:rtl/>
        </w:rPr>
        <w:t>(فصل</w:t>
      </w:r>
      <w:r w:rsidR="0025092A">
        <w:rPr>
          <w:rFonts w:ascii="Tahoma" w:hAnsi="Tahoma" w:hint="cs"/>
          <w:rtl/>
        </w:rPr>
        <w:t xml:space="preserve"> </w:t>
      </w:r>
      <w:r w:rsidRPr="003251BD">
        <w:rPr>
          <w:rFonts w:ascii="Tahoma" w:hAnsi="Tahoma"/>
          <w:rtl/>
        </w:rPr>
        <w:t>( تجوز الشهادة على الشهادة فيما لا يسقط بالشبهة ) والأصل في جوازها إجماع الأمة على ذلك واحتياج الناس إلى إحياء الحقوق بذلك لأنه قد يعجز عن الأداء لمرض أو موت أو سفر</w:t>
      </w:r>
      <w:r w:rsidR="007968F3">
        <w:rPr>
          <w:rFonts w:ascii="Tahoma" w:hAnsi="Tahoma"/>
          <w:rtl/>
        </w:rPr>
        <w:t>،</w:t>
      </w:r>
      <w:r w:rsidRPr="003251BD">
        <w:rPr>
          <w:rFonts w:ascii="Tahoma" w:hAnsi="Tahoma"/>
          <w:rtl/>
        </w:rPr>
        <w:t xml:space="preserve"> فلولا ذلك لبطل حقوق الناس</w:t>
      </w:r>
      <w:r w:rsidR="007968F3">
        <w:rPr>
          <w:rFonts w:ascii="Tahoma" w:hAnsi="Tahoma"/>
          <w:rtl/>
        </w:rPr>
        <w:t>،</w:t>
      </w:r>
      <w:r w:rsidRPr="003251BD">
        <w:rPr>
          <w:rFonts w:ascii="Tahoma" w:hAnsi="Tahoma"/>
          <w:rtl/>
        </w:rPr>
        <w:t xml:space="preserve"> وتجوز الشهادة على الشهادة وإن بعد للحاجة على ما بينا</w:t>
      </w:r>
      <w:r w:rsidR="007968F3">
        <w:rPr>
          <w:rFonts w:ascii="Tahoma" w:hAnsi="Tahoma"/>
          <w:rtl/>
        </w:rPr>
        <w:t>.</w:t>
      </w:r>
      <w:r w:rsidRPr="003251BD">
        <w:rPr>
          <w:rFonts w:ascii="Tahoma" w:hAnsi="Tahoma"/>
          <w:rtl/>
        </w:rPr>
        <w:t xml:space="preserve"> وعن علي رضي الله عنه أنه تقبل في الشهادة على الشهادة شهادة رجلين</w:t>
      </w:r>
      <w:r w:rsidR="007968F3">
        <w:rPr>
          <w:rFonts w:ascii="Tahoma" w:hAnsi="Tahoma"/>
          <w:rtl/>
        </w:rPr>
        <w:t>،</w:t>
      </w:r>
      <w:r w:rsidRPr="003251BD">
        <w:rPr>
          <w:rFonts w:ascii="Tahoma" w:hAnsi="Tahoma"/>
          <w:rtl/>
        </w:rPr>
        <w:t xml:space="preserve"> أو رجل وامرأتين</w:t>
      </w:r>
      <w:r w:rsidR="007968F3">
        <w:rPr>
          <w:rFonts w:ascii="Tahoma" w:hAnsi="Tahoma"/>
          <w:rtl/>
        </w:rPr>
        <w:t>،</w:t>
      </w:r>
      <w:r w:rsidRPr="003251BD">
        <w:rPr>
          <w:rFonts w:ascii="Tahoma" w:hAnsi="Tahoma"/>
          <w:rtl/>
        </w:rPr>
        <w:t xml:space="preserve"> ولأنه نقل خبر يثبت به حق المدعي فيجوز كالشهادة على الإقرار</w:t>
      </w:r>
      <w:r w:rsidR="007968F3">
        <w:rPr>
          <w:rFonts w:ascii="Tahoma" w:hAnsi="Tahoma"/>
          <w:rtl/>
        </w:rPr>
        <w:t>،</w:t>
      </w:r>
      <w:r w:rsidRPr="003251BD">
        <w:rPr>
          <w:rFonts w:ascii="Tahoma" w:hAnsi="Tahoma"/>
          <w:rtl/>
        </w:rPr>
        <w:t xml:space="preserve"> وإنما لم تجز في الحدود والقصاص لأن مبناهما على الإسقاط والدرء</w:t>
      </w:r>
      <w:r w:rsidR="007968F3">
        <w:rPr>
          <w:rFonts w:ascii="Tahoma" w:hAnsi="Tahoma"/>
          <w:rtl/>
        </w:rPr>
        <w:t>،</w:t>
      </w:r>
      <w:r w:rsidRPr="003251BD">
        <w:rPr>
          <w:rFonts w:ascii="Tahoma" w:hAnsi="Tahoma"/>
          <w:rtl/>
        </w:rPr>
        <w:t xml:space="preserve"> وفي ذلك احتيال للثبوت ولأن فيها شبهة لزيادة احتمال الكذب أو البدلية</w:t>
      </w:r>
      <w:r w:rsidR="007968F3">
        <w:rPr>
          <w:rFonts w:ascii="Tahoma" w:hAnsi="Tahoma"/>
          <w:rtl/>
        </w:rPr>
        <w:t>،</w:t>
      </w:r>
      <w:r w:rsidRPr="003251BD">
        <w:rPr>
          <w:rFonts w:ascii="Tahoma" w:hAnsi="Tahoma"/>
          <w:rtl/>
        </w:rPr>
        <w:t xml:space="preserve"> والحدود تسقط بالشبهات</w:t>
      </w:r>
      <w:r w:rsidR="007968F3">
        <w:rPr>
          <w:rFonts w:ascii="Tahoma" w:hAnsi="Tahoma"/>
          <w:rtl/>
        </w:rPr>
        <w:t>،</w:t>
      </w:r>
      <w:r w:rsidRPr="003251BD">
        <w:rPr>
          <w:rFonts w:ascii="Tahoma" w:hAnsi="Tahoma"/>
          <w:rtl/>
        </w:rPr>
        <w:t xml:space="preserve"> وتقبل على استيفاء الحدود لأن الاستيفاء لا يسقط بالشبهة</w:t>
      </w:r>
      <w:r w:rsidR="007968F3">
        <w:rPr>
          <w:rFonts w:ascii="Tahoma" w:hAnsi="Tahoma"/>
          <w:rtl/>
        </w:rPr>
        <w:t>،</w:t>
      </w:r>
      <w:r w:rsidRPr="003251BD">
        <w:rPr>
          <w:rFonts w:ascii="Tahoma" w:hAnsi="Tahoma"/>
          <w:rtl/>
        </w:rPr>
        <w:t xml:space="preserve"> وما يوجب التعزير عن أبي حنيفة أنه لا يقبل كسائر العقوبات</w:t>
      </w:r>
      <w:r w:rsidR="007968F3">
        <w:rPr>
          <w:rFonts w:ascii="Tahoma" w:hAnsi="Tahoma"/>
          <w:rtl/>
        </w:rPr>
        <w:t>،</w:t>
      </w:r>
      <w:r w:rsidRPr="003251BD">
        <w:rPr>
          <w:rFonts w:ascii="Tahoma" w:hAnsi="Tahoma"/>
          <w:rtl/>
        </w:rPr>
        <w:t xml:space="preserve"> وعن أبي يوسف أنه يقبل</w:t>
      </w:r>
      <w:r w:rsidR="007968F3">
        <w:rPr>
          <w:rFonts w:ascii="Tahoma" w:hAnsi="Tahoma"/>
          <w:rtl/>
        </w:rPr>
        <w:t>،</w:t>
      </w:r>
      <w:r w:rsidRPr="003251BD">
        <w:rPr>
          <w:rFonts w:ascii="Tahoma" w:hAnsi="Tahoma"/>
          <w:rtl/>
        </w:rPr>
        <w:t xml:space="preserve"> لأن التعزير لا يسقط بالشبهة</w:t>
      </w:r>
      <w:r w:rsidR="007968F3">
        <w:rPr>
          <w:rFonts w:ascii="Tahoma" w:hAnsi="Tahoma"/>
          <w:rtl/>
        </w:rPr>
        <w:t>،</w:t>
      </w:r>
      <w:r w:rsidRPr="003251BD">
        <w:rPr>
          <w:rFonts w:ascii="Tahoma" w:hAnsi="Tahoma"/>
          <w:rtl/>
        </w:rPr>
        <w:t xml:space="preserve"> لما روى </w:t>
      </w:r>
      <w:r w:rsidR="007968F3">
        <w:rPr>
          <w:rFonts w:ascii="Tahoma" w:hAnsi="Tahoma"/>
          <w:rtl/>
        </w:rPr>
        <w:t>"</w:t>
      </w:r>
      <w:r w:rsidRPr="003251BD">
        <w:rPr>
          <w:rFonts w:ascii="Tahoma" w:hAnsi="Tahoma"/>
          <w:rtl/>
        </w:rPr>
        <w:t xml:space="preserve"> أن النبي ( صلى الله عليه وسلم )حبس رجلا بالتهمة </w:t>
      </w:r>
      <w:r w:rsidR="007968F3">
        <w:rPr>
          <w:rFonts w:ascii="Tahoma" w:hAnsi="Tahoma"/>
          <w:rtl/>
        </w:rPr>
        <w:t>"</w:t>
      </w:r>
      <w:r w:rsidRPr="003251BD">
        <w:rPr>
          <w:rFonts w:ascii="Tahoma" w:hAnsi="Tahoma"/>
          <w:rtl/>
        </w:rPr>
        <w:t xml:space="preserve"> والحبس تعزير)</w:t>
      </w:r>
    </w:p>
    <w:p w:rsidR="003251BD" w:rsidRPr="003251BD" w:rsidRDefault="003251BD" w:rsidP="003251BD">
      <w:pPr>
        <w:pStyle w:val="af3"/>
        <w:ind w:firstLine="266"/>
        <w:rPr>
          <w:rFonts w:ascii="Tahoma" w:hAnsi="Tahoma"/>
          <w:rtl/>
        </w:rPr>
      </w:pPr>
      <w:r w:rsidRPr="003251BD">
        <w:rPr>
          <w:rFonts w:ascii="Tahoma" w:hAnsi="Tahoma"/>
          <w:rtl/>
        </w:rPr>
        <w:t>وقال في حاشية الصاوي على الشرح الصغير</w:t>
      </w:r>
      <w:r w:rsidR="007968F3">
        <w:rPr>
          <w:rFonts w:ascii="Tahoma" w:hAnsi="Tahoma"/>
          <w:rtl/>
        </w:rPr>
        <w:t>:</w:t>
      </w:r>
      <w:r w:rsidRPr="003251BD">
        <w:rPr>
          <w:rFonts w:ascii="Tahoma" w:hAnsi="Tahoma"/>
          <w:rtl/>
        </w:rPr>
        <w:t xml:space="preserve"> (قَالَ الْإِمَامُ عِزُّ الدِّينِ بْنُ عَبْدِ السَّلَامِ</w:t>
      </w:r>
      <w:r w:rsidR="007968F3">
        <w:rPr>
          <w:rFonts w:ascii="Tahoma" w:hAnsi="Tahoma"/>
          <w:rtl/>
        </w:rPr>
        <w:t>:</w:t>
      </w:r>
      <w:r w:rsidRPr="003251BD">
        <w:rPr>
          <w:rFonts w:ascii="Tahoma" w:hAnsi="Tahoma"/>
          <w:rtl/>
        </w:rPr>
        <w:t xml:space="preserve"> مَنْ ارْتَكَبَ أَمْرًا فِيهِ خِلَافٌ لَا يُعَزَّرُ لِقَوْلِهِ عَلَيْهِ الصَّلَاةُ وَالسَّلَامُ</w:t>
      </w:r>
      <w:r w:rsidR="007968F3">
        <w:rPr>
          <w:rFonts w:ascii="Tahoma" w:hAnsi="Tahoma"/>
          <w:rtl/>
        </w:rPr>
        <w:t>:</w:t>
      </w:r>
      <w:r w:rsidRPr="003251BD">
        <w:rPr>
          <w:rFonts w:ascii="Tahoma" w:hAnsi="Tahoma"/>
          <w:rtl/>
        </w:rPr>
        <w:t xml:space="preserve"> { ادْرَءُوا الْحُدُودَ بِالشُّبُهَاتِ })</w:t>
      </w:r>
    </w:p>
    <w:p w:rsidR="003251BD" w:rsidRDefault="003251BD" w:rsidP="003251BD">
      <w:pPr>
        <w:pStyle w:val="af3"/>
        <w:ind w:firstLine="266"/>
        <w:rPr>
          <w:rFonts w:ascii="Tahoma" w:hAnsi="Tahoma"/>
          <w:rtl/>
        </w:rPr>
      </w:pPr>
      <w:r w:rsidRPr="003251BD">
        <w:rPr>
          <w:rFonts w:ascii="Tahoma" w:hAnsi="Tahoma"/>
          <w:rtl/>
        </w:rPr>
        <w:t>وقال الشيخ محمد ابن ابراهيم</w:t>
      </w:r>
      <w:r w:rsidR="007968F3">
        <w:rPr>
          <w:rFonts w:ascii="Tahoma" w:hAnsi="Tahoma"/>
          <w:rtl/>
        </w:rPr>
        <w:t>:</w:t>
      </w:r>
      <w:r w:rsidRPr="003251BD">
        <w:rPr>
          <w:rFonts w:ascii="Tahoma" w:hAnsi="Tahoma"/>
          <w:rtl/>
        </w:rPr>
        <w:t>( (سميت عقوبات الجرائم (حدوداً) لأن من شأنها أن تمنع ارتكاب الجرائم، وتجب حقاً لله تعالى</w:t>
      </w:r>
      <w:r w:rsidR="007968F3">
        <w:rPr>
          <w:rFonts w:ascii="Tahoma" w:hAnsi="Tahoma"/>
          <w:rtl/>
        </w:rPr>
        <w:t>،</w:t>
      </w:r>
      <w:r w:rsidRPr="003251BD">
        <w:rPr>
          <w:rFonts w:ascii="Tahoma" w:hAnsi="Tahoma"/>
          <w:rtl/>
        </w:rPr>
        <w:t xml:space="preserve"> لما في الجرائم المقررة فيها الحدود من الخطورة البالغة على المجتمع وكذلك (التعزير) يطلق على عقوبته اسم (الحد) إذا وجب لحق الله تعالى). إلا أن كلام الشيخ محمد ابن ابراهيم رحمه الله تعالى يشكل عليه أن قرر التعزير على من سقط عنه الحد حيث قال</w:t>
      </w:r>
      <w:r w:rsidR="007968F3">
        <w:rPr>
          <w:rFonts w:ascii="Tahoma" w:hAnsi="Tahoma"/>
          <w:rtl/>
        </w:rPr>
        <w:t>:</w:t>
      </w:r>
      <w:r w:rsidRPr="003251BD">
        <w:rPr>
          <w:rFonts w:ascii="Tahoma" w:hAnsi="Tahoma"/>
          <w:rtl/>
        </w:rPr>
        <w:t>( فظهر لنا درأ الحد عن المرأة المذكورة لادعائها الإكراه</w:t>
      </w:r>
      <w:r w:rsidR="007968F3">
        <w:rPr>
          <w:rFonts w:ascii="Tahoma" w:hAnsi="Tahoma"/>
          <w:rtl/>
        </w:rPr>
        <w:t>،</w:t>
      </w:r>
      <w:r w:rsidRPr="003251BD">
        <w:rPr>
          <w:rFonts w:ascii="Tahoma" w:hAnsi="Tahoma"/>
          <w:rtl/>
        </w:rPr>
        <w:t xml:space="preserve"> والحدود تدرأ بالشبهات</w:t>
      </w:r>
      <w:r w:rsidR="007968F3">
        <w:rPr>
          <w:rFonts w:ascii="Tahoma" w:hAnsi="Tahoma"/>
          <w:rtl/>
        </w:rPr>
        <w:t>.</w:t>
      </w:r>
      <w:r w:rsidRPr="003251BD">
        <w:rPr>
          <w:rFonts w:ascii="Tahoma" w:hAnsi="Tahoma"/>
          <w:rtl/>
        </w:rPr>
        <w:t xml:space="preserve"> لكن دعواها الإكراه ضعيفة حيث لم تقم ما يعضدها من استعداء وإقامة شكوى أو نحو ذلك. فلهذا يتوجه تعزيرها</w:t>
      </w:r>
      <w:r w:rsidR="007968F3">
        <w:rPr>
          <w:rFonts w:ascii="Tahoma" w:hAnsi="Tahoma"/>
          <w:rtl/>
        </w:rPr>
        <w:t>.</w:t>
      </w:r>
      <w:r w:rsidRPr="003251BD">
        <w:rPr>
          <w:rFonts w:ascii="Tahoma" w:hAnsi="Tahoma"/>
          <w:rtl/>
        </w:rPr>
        <w:t xml:space="preserve"> وإن كان لها سوابق فيغلظ تعزيرها ويكون بما يراه قاضي أبها).</w:t>
      </w:r>
      <w:r w:rsidR="00256D7B">
        <w:rPr>
          <w:rFonts w:ascii="Tahoma" w:hAnsi="Tahoma" w:hint="cs"/>
          <w:rtl/>
        </w:rPr>
        <w:t xml:space="preserve"> </w:t>
      </w:r>
      <w:r w:rsidR="00D222CB">
        <w:rPr>
          <w:rFonts w:ascii="Tahoma" w:hAnsi="Tahoma" w:hint="cs"/>
          <w:rtl/>
        </w:rPr>
        <w:t xml:space="preserve">أهــ كلامه جزاه الله خيراً. </w:t>
      </w:r>
    </w:p>
    <w:p w:rsidR="00D222CB" w:rsidRDefault="00D222CB" w:rsidP="003251BD">
      <w:pPr>
        <w:pStyle w:val="af3"/>
        <w:ind w:firstLine="266"/>
        <w:rPr>
          <w:rFonts w:ascii="Tahoma" w:hAnsi="Tahoma"/>
          <w:rtl/>
        </w:rPr>
      </w:pPr>
      <w:r>
        <w:rPr>
          <w:rFonts w:ascii="Tahoma" w:hAnsi="Tahoma" w:hint="cs"/>
          <w:rtl/>
        </w:rPr>
        <w:t>لكن يشكل عليه إطلاق عباراتهم ال</w:t>
      </w:r>
      <w:r w:rsidR="00386C88">
        <w:rPr>
          <w:rFonts w:ascii="Tahoma" w:hAnsi="Tahoma" w:hint="cs"/>
          <w:rtl/>
        </w:rPr>
        <w:t>صريحة التي أثبتها في صلب البحث.</w:t>
      </w:r>
    </w:p>
    <w:p w:rsidR="00D222CB" w:rsidRDefault="00DE6261" w:rsidP="003251BD">
      <w:pPr>
        <w:pStyle w:val="af3"/>
        <w:ind w:firstLine="266"/>
        <w:rPr>
          <w:rFonts w:ascii="Tahoma" w:hAnsi="Tahoma"/>
          <w:rtl/>
        </w:rPr>
      </w:pPr>
      <w:r>
        <w:rPr>
          <w:rFonts w:ascii="Tahoma" w:hAnsi="Tahoma" w:hint="cs"/>
          <w:rtl/>
        </w:rPr>
        <w:t xml:space="preserve">وبعض النصوص التي نقلها الزميل هي في شبهة الفعل، وشبهة الفعل دارئة للعقوبة حداً أو تعزيراً بلا إشكال. والمسألة مفروضة في درأ العقوبة التعزيرية إذا خلت من الشبهة غير شبهة الرجوع عن الإقرار. </w:t>
      </w:r>
    </w:p>
    <w:p w:rsidR="00386C88" w:rsidRDefault="00386C88" w:rsidP="003251BD">
      <w:pPr>
        <w:pStyle w:val="af3"/>
        <w:ind w:firstLine="266"/>
        <w:rPr>
          <w:rFonts w:ascii="Tahoma" w:hAnsi="Tahoma"/>
          <w:rtl/>
        </w:rPr>
      </w:pPr>
      <w:r>
        <w:rPr>
          <w:rFonts w:ascii="Tahoma" w:hAnsi="Tahoma" w:hint="cs"/>
          <w:rtl/>
        </w:rPr>
        <w:t xml:space="preserve">مع ملاحظة أن المسامحة في درأ الحدود </w:t>
      </w:r>
      <w:r>
        <w:rPr>
          <w:rFonts w:ascii="Tahoma" w:hAnsi="Tahoma"/>
          <w:rtl/>
        </w:rPr>
        <w:t>–</w:t>
      </w:r>
      <w:r>
        <w:rPr>
          <w:rFonts w:ascii="Tahoma" w:hAnsi="Tahoma" w:hint="cs"/>
          <w:rtl/>
        </w:rPr>
        <w:t xml:space="preserve">في قول الجمهور- مبناها ما رُوي من الأخبار، وتعدية ذلك إلى التعزير محل نظر. </w:t>
      </w:r>
    </w:p>
    <w:p w:rsidR="00D222CB" w:rsidRPr="003251BD" w:rsidRDefault="00D222CB" w:rsidP="003251BD">
      <w:pPr>
        <w:pStyle w:val="af3"/>
        <w:ind w:firstLine="266"/>
        <w:rPr>
          <w:rFonts w:ascii="Tahoma" w:hAnsi="Tahoma" w:hint="cs"/>
          <w:lang w:bidi="ar-EG"/>
        </w:rPr>
      </w:pPr>
    </w:p>
  </w:footnote>
  <w:footnote w:id="2">
    <w:p w:rsidR="00C563F6" w:rsidRPr="00F30E37" w:rsidRDefault="00C563F6" w:rsidP="00C563F6">
      <w:pPr>
        <w:pStyle w:val="af3"/>
        <w:rPr>
          <w:rFonts w:ascii="Tahoma" w:hAnsi="Tahoma"/>
          <w:rtl/>
        </w:rPr>
      </w:pPr>
      <w:r w:rsidRPr="00D27EB5">
        <w:rPr>
          <w:rFonts w:ascii="Tahoma" w:hAnsi="Tahoma"/>
          <w:rtl/>
        </w:rPr>
        <w:t>(</w:t>
      </w:r>
      <w:r w:rsidRPr="00D27EB5">
        <w:rPr>
          <w:rStyle w:val="ae"/>
          <w:rFonts w:ascii="Tahoma" w:hAnsi="Tahoma"/>
          <w:vertAlign w:val="baseline"/>
        </w:rPr>
        <w:footnoteRef/>
      </w:r>
      <w:r w:rsidRPr="00D27EB5">
        <w:rPr>
          <w:rFonts w:ascii="Tahoma" w:hAnsi="Tahoma"/>
          <w:rtl/>
        </w:rPr>
        <w:t>)</w:t>
      </w:r>
      <w:r>
        <w:rPr>
          <w:rFonts w:ascii="Tahoma" w:hAnsi="Tahoma"/>
          <w:rtl/>
        </w:rPr>
        <w:t xml:space="preserve"> </w:t>
      </w:r>
      <w:r>
        <w:rPr>
          <w:rFonts w:ascii="Tahoma" w:hAnsi="Tahoma" w:hint="cs"/>
          <w:rtl/>
        </w:rPr>
        <w:t xml:space="preserve">حاشية ابن عابدين 4/60. وثمت نص آخر للمرغيناني في الهداية </w:t>
      </w:r>
      <w:r w:rsidRPr="00F30E37">
        <w:rPr>
          <w:rFonts w:ascii="Tahoma" w:hAnsi="Tahoma" w:hint="cs"/>
          <w:rtl/>
        </w:rPr>
        <w:t>5</w:t>
      </w:r>
      <w:r>
        <w:rPr>
          <w:rFonts w:ascii="Tahoma" w:hAnsi="Tahoma" w:hint="cs"/>
          <w:rtl/>
        </w:rPr>
        <w:t xml:space="preserve">/328 -مع البناية- </w:t>
      </w:r>
      <w:r w:rsidRPr="00F30E37">
        <w:rPr>
          <w:rFonts w:ascii="Tahoma" w:hAnsi="Tahoma"/>
          <w:rtl/>
        </w:rPr>
        <w:t>قال ( ومن أقر بالقذف ثم رجع لم يقبل رجوعه ) لأن ل</w:t>
      </w:r>
      <w:r>
        <w:rPr>
          <w:rFonts w:ascii="Tahoma" w:hAnsi="Tahoma"/>
          <w:rtl/>
        </w:rPr>
        <w:t>لمقذوف فيه حقا فيكذبه في الرجوع</w:t>
      </w:r>
      <w:r w:rsidR="00860D49">
        <w:rPr>
          <w:rFonts w:ascii="Tahoma" w:hAnsi="Tahoma"/>
          <w:rtl/>
        </w:rPr>
        <w:t>،</w:t>
      </w:r>
      <w:r w:rsidRPr="00F30E37">
        <w:rPr>
          <w:rFonts w:ascii="Tahoma" w:hAnsi="Tahoma"/>
          <w:rtl/>
        </w:rPr>
        <w:t xml:space="preserve"> </w:t>
      </w:r>
      <w:r w:rsidRPr="00F30E37">
        <w:rPr>
          <w:rFonts w:ascii="Tahoma" w:hAnsi="Tahoma"/>
          <w:u w:val="single"/>
          <w:rtl/>
        </w:rPr>
        <w:t>بخلاف ما هو خالص حق الله لأنه لا مكذب له فيه</w:t>
      </w:r>
      <w:r w:rsidRPr="00F30E37">
        <w:rPr>
          <w:rFonts w:ascii="Tahoma" w:hAnsi="Tahoma"/>
          <w:rtl/>
        </w:rPr>
        <w:t xml:space="preserve"> </w:t>
      </w:r>
      <w:r>
        <w:rPr>
          <w:rFonts w:ascii="Tahoma" w:hAnsi="Tahoma" w:hint="cs"/>
          <w:rtl/>
        </w:rPr>
        <w:t>) وهو نص مجمل يحت</w:t>
      </w:r>
      <w:bookmarkStart w:id="0" w:name="_GoBack"/>
      <w:bookmarkEnd w:id="0"/>
      <w:r>
        <w:rPr>
          <w:rFonts w:ascii="Tahoma" w:hAnsi="Tahoma" w:hint="cs"/>
          <w:rtl/>
        </w:rPr>
        <w:t>مل أن التعزير إذا كان لحق الله تعالى فيقبل الرجوع، وأظنه غير مراد</w:t>
      </w:r>
      <w:r w:rsidRPr="00F30E37">
        <w:rPr>
          <w:rFonts w:ascii="Tahoma" w:hAnsi="Tahoma"/>
          <w:rtl/>
        </w:rPr>
        <w:t>.</w:t>
      </w:r>
    </w:p>
    <w:p w:rsidR="00C563F6" w:rsidRPr="00D27EB5" w:rsidRDefault="00C563F6" w:rsidP="00C563F6">
      <w:pPr>
        <w:pStyle w:val="af3"/>
        <w:rPr>
          <w:rFonts w:ascii="Tahoma" w:hAnsi="Tahoma"/>
        </w:rPr>
      </w:pPr>
    </w:p>
  </w:footnote>
  <w:footnote w:id="3">
    <w:p w:rsidR="00C563F6" w:rsidRPr="00F75646" w:rsidRDefault="00C563F6" w:rsidP="00C563F6">
      <w:pPr>
        <w:pStyle w:val="af3"/>
        <w:rPr>
          <w:rFonts w:ascii="Tahoma" w:hAnsi="Tahoma"/>
        </w:rPr>
      </w:pPr>
      <w:r w:rsidRPr="00F75646">
        <w:rPr>
          <w:rFonts w:ascii="Tahoma" w:hAnsi="Tahoma"/>
          <w:rtl/>
        </w:rPr>
        <w:t>(</w:t>
      </w:r>
      <w:r w:rsidRPr="00F75646">
        <w:rPr>
          <w:rStyle w:val="ae"/>
          <w:rFonts w:ascii="Tahoma" w:hAnsi="Tahoma"/>
          <w:vertAlign w:val="baseline"/>
        </w:rPr>
        <w:footnoteRef/>
      </w:r>
      <w:r w:rsidRPr="00F75646">
        <w:rPr>
          <w:rFonts w:ascii="Tahoma" w:hAnsi="Tahoma"/>
          <w:rtl/>
        </w:rPr>
        <w:t>)</w:t>
      </w:r>
      <w:r>
        <w:rPr>
          <w:rFonts w:ascii="Tahoma" w:hAnsi="Tahoma"/>
          <w:rtl/>
        </w:rPr>
        <w:t xml:space="preserve"> </w:t>
      </w:r>
      <w:r>
        <w:rPr>
          <w:rFonts w:ascii="Tahoma" w:hAnsi="Tahoma" w:hint="cs"/>
          <w:rtl/>
        </w:rPr>
        <w:t>المنثور في القواعد الفقهية1/187.</w:t>
      </w:r>
    </w:p>
  </w:footnote>
  <w:footnote w:id="4">
    <w:p w:rsidR="00C563F6" w:rsidRPr="00F30E37" w:rsidRDefault="00C563F6" w:rsidP="00C563F6">
      <w:pPr>
        <w:pStyle w:val="af3"/>
        <w:rPr>
          <w:rFonts w:ascii="Tahoma" w:hAnsi="Tahoma"/>
        </w:rPr>
      </w:pPr>
      <w:r w:rsidRPr="00F30E37">
        <w:rPr>
          <w:rFonts w:ascii="Tahoma" w:hAnsi="Tahoma"/>
          <w:rtl/>
        </w:rPr>
        <w:t>(</w:t>
      </w:r>
      <w:r w:rsidRPr="00F30E37">
        <w:rPr>
          <w:rStyle w:val="ae"/>
          <w:rFonts w:ascii="Tahoma" w:hAnsi="Tahoma"/>
          <w:vertAlign w:val="baseline"/>
        </w:rPr>
        <w:footnoteRef/>
      </w:r>
      <w:r w:rsidRPr="00F30E37">
        <w:rPr>
          <w:rFonts w:ascii="Tahoma" w:hAnsi="Tahoma"/>
          <w:rtl/>
        </w:rPr>
        <w:t>)</w:t>
      </w:r>
      <w:r>
        <w:rPr>
          <w:rFonts w:ascii="Tahoma" w:hAnsi="Tahoma"/>
          <w:rtl/>
        </w:rPr>
        <w:t xml:space="preserve"> </w:t>
      </w:r>
      <w:r>
        <w:rPr>
          <w:rFonts w:ascii="Tahoma" w:hAnsi="Tahoma" w:hint="cs"/>
          <w:rtl/>
        </w:rPr>
        <w:t>الأشباه والنظائر 465.</w:t>
      </w:r>
    </w:p>
  </w:footnote>
  <w:footnote w:id="5">
    <w:p w:rsidR="00C563F6" w:rsidRPr="00BE0D40" w:rsidRDefault="00C563F6" w:rsidP="00C563F6">
      <w:pPr>
        <w:pStyle w:val="af3"/>
        <w:rPr>
          <w:rFonts w:ascii="Tahoma" w:hAnsi="Tahoma"/>
          <w:rtl/>
        </w:rPr>
      </w:pPr>
      <w:r w:rsidRPr="00BE0D40">
        <w:rPr>
          <w:rFonts w:ascii="Tahoma" w:hAnsi="Tahoma"/>
          <w:rtl/>
        </w:rPr>
        <w:t>(</w:t>
      </w:r>
      <w:r w:rsidRPr="00BE0D40">
        <w:rPr>
          <w:rStyle w:val="ae"/>
          <w:rFonts w:ascii="Tahoma" w:hAnsi="Tahoma"/>
          <w:vertAlign w:val="baseline"/>
        </w:rPr>
        <w:footnoteRef/>
      </w:r>
      <w:r w:rsidRPr="00BE0D40">
        <w:rPr>
          <w:rFonts w:ascii="Tahoma" w:hAnsi="Tahoma"/>
          <w:rtl/>
        </w:rPr>
        <w:t>)</w:t>
      </w:r>
      <w:r>
        <w:rPr>
          <w:rFonts w:ascii="Tahoma" w:hAnsi="Tahoma" w:hint="cs"/>
          <w:rtl/>
        </w:rPr>
        <w:t xml:space="preserve"> </w:t>
      </w:r>
      <w:r w:rsidRPr="00BE0D40">
        <w:rPr>
          <w:rFonts w:ascii="Tahoma" w:hAnsi="Tahoma" w:hint="cs"/>
          <w:rtl/>
        </w:rPr>
        <w:t xml:space="preserve">تحفة الحبيب للشربيني 3/143: </w:t>
      </w:r>
      <w:r w:rsidRPr="00BE0D40">
        <w:rPr>
          <w:rFonts w:ascii="Tahoma" w:hAnsi="Tahoma"/>
          <w:rtl/>
        </w:rPr>
        <w:t>( والمقر به ) من الحقوق ( ضربان ) أحدهما</w:t>
      </w:r>
      <w:r w:rsidR="007968F3">
        <w:rPr>
          <w:rFonts w:ascii="Tahoma" w:hAnsi="Tahoma"/>
          <w:rtl/>
        </w:rPr>
        <w:t>:</w:t>
      </w:r>
      <w:r w:rsidRPr="00BE0D40">
        <w:rPr>
          <w:rFonts w:ascii="Tahoma" w:hAnsi="Tahoma"/>
          <w:rtl/>
        </w:rPr>
        <w:t xml:space="preserve"> ( حق الله تعالى ) وهو ينقسم إلى ما يسقط بالشبهة كالزنا وشرب الخمر وقطع السرقة وعليه اقتصر المصنف</w:t>
      </w:r>
      <w:r w:rsidR="007968F3">
        <w:rPr>
          <w:rFonts w:ascii="Tahoma" w:hAnsi="Tahoma"/>
          <w:rtl/>
        </w:rPr>
        <w:t>،</w:t>
      </w:r>
      <w:r w:rsidRPr="001A79EE">
        <w:rPr>
          <w:rFonts w:ascii="Tahoma" w:hAnsi="Tahoma"/>
          <w:u w:val="single"/>
          <w:rtl/>
        </w:rPr>
        <w:t xml:space="preserve"> وإلى ما لا يسقط بالشبهة</w:t>
      </w:r>
      <w:r w:rsidRPr="00BE0D40">
        <w:rPr>
          <w:rFonts w:ascii="Tahoma" w:hAnsi="Tahoma"/>
          <w:rtl/>
        </w:rPr>
        <w:t xml:space="preserve"> كالزكاة والكفارة</w:t>
      </w:r>
      <w:r w:rsidR="007968F3">
        <w:rPr>
          <w:rFonts w:ascii="Tahoma" w:hAnsi="Tahoma"/>
          <w:rtl/>
        </w:rPr>
        <w:t>.</w:t>
      </w:r>
      <w:r w:rsidRPr="00BE0D40">
        <w:rPr>
          <w:rFonts w:ascii="Tahoma" w:hAnsi="Tahoma"/>
          <w:rtl/>
        </w:rPr>
        <w:t xml:space="preserve"> ( و ) الثاني</w:t>
      </w:r>
      <w:r w:rsidR="007968F3">
        <w:rPr>
          <w:rFonts w:ascii="Tahoma" w:hAnsi="Tahoma"/>
          <w:rtl/>
        </w:rPr>
        <w:t>:</w:t>
      </w:r>
      <w:r w:rsidRPr="00BE0D40">
        <w:rPr>
          <w:rFonts w:ascii="Tahoma" w:hAnsi="Tahoma"/>
          <w:rtl/>
        </w:rPr>
        <w:t xml:space="preserve"> ( حق الآدمي ) كحد القذف لشخص</w:t>
      </w:r>
      <w:r w:rsidR="007968F3">
        <w:rPr>
          <w:rFonts w:ascii="Tahoma" w:hAnsi="Tahoma"/>
          <w:rtl/>
        </w:rPr>
        <w:t>.</w:t>
      </w:r>
      <w:r w:rsidRPr="00BE0D40">
        <w:rPr>
          <w:rFonts w:ascii="Tahoma" w:hAnsi="Tahoma"/>
          <w:rtl/>
        </w:rPr>
        <w:t xml:space="preserve"> ( فحق الله تعالى ) الذي يسقط بذلك إذا أقر به</w:t>
      </w:r>
      <w:r w:rsidR="007968F3">
        <w:rPr>
          <w:rFonts w:ascii="Tahoma" w:hAnsi="Tahoma"/>
          <w:rtl/>
        </w:rPr>
        <w:t>.</w:t>
      </w:r>
      <w:r w:rsidRPr="00BE0D40">
        <w:rPr>
          <w:rFonts w:ascii="Tahoma" w:hAnsi="Tahoma"/>
          <w:rtl/>
        </w:rPr>
        <w:t xml:space="preserve"> ( يصح الرجوع فيه عن الإقرار به ) لأن مبناه على الدرء والستر</w:t>
      </w:r>
      <w:r w:rsidR="007968F3">
        <w:rPr>
          <w:rFonts w:ascii="Tahoma" w:hAnsi="Tahoma"/>
          <w:rtl/>
        </w:rPr>
        <w:t>؛</w:t>
      </w:r>
      <w:r w:rsidRPr="00BE0D40">
        <w:rPr>
          <w:rFonts w:ascii="Tahoma" w:hAnsi="Tahoma"/>
          <w:rtl/>
        </w:rPr>
        <w:t xml:space="preserve"> ولأنه { صلى الله عليه وسلم عرض لماعز بالرجوع بقوله</w:t>
      </w:r>
      <w:r w:rsidR="007968F3">
        <w:rPr>
          <w:rFonts w:ascii="Tahoma" w:hAnsi="Tahoma"/>
          <w:rtl/>
        </w:rPr>
        <w:t>:</w:t>
      </w:r>
      <w:r w:rsidRPr="00BE0D40">
        <w:rPr>
          <w:rFonts w:ascii="Tahoma" w:hAnsi="Tahoma"/>
          <w:rtl/>
        </w:rPr>
        <w:t xml:space="preserve"> لعلك قبلت</w:t>
      </w:r>
      <w:r w:rsidR="007968F3">
        <w:rPr>
          <w:rFonts w:ascii="Tahoma" w:hAnsi="Tahoma"/>
          <w:rtl/>
        </w:rPr>
        <w:t>؟</w:t>
      </w:r>
      <w:r w:rsidRPr="00BE0D40">
        <w:rPr>
          <w:rFonts w:ascii="Tahoma" w:hAnsi="Tahoma"/>
          <w:rtl/>
        </w:rPr>
        <w:t xml:space="preserve"> لعلك لمست</w:t>
      </w:r>
      <w:r w:rsidR="007968F3">
        <w:rPr>
          <w:rFonts w:ascii="Tahoma" w:hAnsi="Tahoma"/>
          <w:rtl/>
        </w:rPr>
        <w:t>؟</w:t>
      </w:r>
      <w:r w:rsidRPr="00BE0D40">
        <w:rPr>
          <w:rFonts w:ascii="Tahoma" w:hAnsi="Tahoma"/>
          <w:rtl/>
        </w:rPr>
        <w:t xml:space="preserve"> أبك جنون } وللقاضي أن يعرض له بذلك لما ذكر ولا يقول له ارجع فيكون آمرا له بالكذب</w:t>
      </w:r>
      <w:r w:rsidR="007968F3">
        <w:rPr>
          <w:rFonts w:ascii="Tahoma" w:hAnsi="Tahoma"/>
          <w:rtl/>
        </w:rPr>
        <w:t>.</w:t>
      </w:r>
      <w:r w:rsidRPr="00BE0D40">
        <w:rPr>
          <w:rFonts w:ascii="Tahoma" w:hAnsi="Tahoma"/>
          <w:rtl/>
        </w:rPr>
        <w:t xml:space="preserve"> وخرج بالإقرار ما لو ثبت بالبينة ولا يصح رجوعه بما لا  يسقط بالشبهة</w:t>
      </w:r>
      <w:r w:rsidR="007968F3">
        <w:rPr>
          <w:rFonts w:ascii="Tahoma" w:hAnsi="Tahoma"/>
          <w:rtl/>
        </w:rPr>
        <w:t>.</w:t>
      </w:r>
      <w:r w:rsidRPr="00BE0D40">
        <w:rPr>
          <w:rFonts w:ascii="Tahoma" w:hAnsi="Tahoma"/>
          <w:rtl/>
        </w:rPr>
        <w:t xml:space="preserve"> ( و ) الضرب الثاني ( حق الآدمي ) إذا أقر به ( لا يصح الرجوع فيه عن الإقرار به ) لتعلق حق المقر له به</w:t>
      </w:r>
      <w:r w:rsidR="007968F3">
        <w:rPr>
          <w:rFonts w:ascii="Tahoma" w:hAnsi="Tahoma"/>
          <w:rtl/>
        </w:rPr>
        <w:t>،</w:t>
      </w:r>
      <w:r w:rsidRPr="00BE0D40">
        <w:rPr>
          <w:rFonts w:ascii="Tahoma" w:hAnsi="Tahoma"/>
          <w:rtl/>
        </w:rPr>
        <w:t xml:space="preserve"> إلا إذا كذبه المقر له به كما سيأتي في شرو</w:t>
      </w:r>
      <w:r>
        <w:rPr>
          <w:rFonts w:ascii="Tahoma" w:hAnsi="Tahoma"/>
          <w:rtl/>
        </w:rPr>
        <w:t>ط المقر له</w:t>
      </w:r>
      <w:r w:rsidRPr="00BE0D40">
        <w:rPr>
          <w:rFonts w:ascii="Tahoma" w:hAnsi="Tahoma"/>
          <w:rtl/>
        </w:rPr>
        <w:t>.</w:t>
      </w:r>
    </w:p>
    <w:p w:rsidR="00C563F6" w:rsidRPr="00BE0D40" w:rsidRDefault="00C563F6" w:rsidP="00C563F6">
      <w:pPr>
        <w:pStyle w:val="af3"/>
        <w:rPr>
          <w:rFonts w:ascii="Tahoma" w:hAnsi="Tahoma"/>
        </w:rPr>
      </w:pPr>
    </w:p>
  </w:footnote>
  <w:footnote w:id="6">
    <w:p w:rsidR="00C563F6" w:rsidRPr="00D72E14" w:rsidRDefault="00C563F6" w:rsidP="00C563F6">
      <w:pPr>
        <w:pStyle w:val="af3"/>
        <w:rPr>
          <w:rFonts w:ascii="Tahoma" w:hAnsi="Tahoma"/>
        </w:rPr>
      </w:pPr>
      <w:r w:rsidRPr="00D72E14">
        <w:rPr>
          <w:rFonts w:ascii="Tahoma" w:hAnsi="Tahoma"/>
          <w:rtl/>
        </w:rPr>
        <w:t>(</w:t>
      </w:r>
      <w:r w:rsidRPr="00D72E14">
        <w:rPr>
          <w:rStyle w:val="ae"/>
          <w:rFonts w:ascii="Tahoma" w:hAnsi="Tahoma"/>
          <w:vertAlign w:val="baseline"/>
        </w:rPr>
        <w:footnoteRef/>
      </w:r>
      <w:r w:rsidRPr="00D72E14">
        <w:rPr>
          <w:rFonts w:ascii="Tahoma" w:hAnsi="Tahoma"/>
          <w:rtl/>
        </w:rPr>
        <w:t>)</w:t>
      </w:r>
      <w:r>
        <w:rPr>
          <w:rFonts w:ascii="Tahoma" w:hAnsi="Tahoma"/>
          <w:rtl/>
        </w:rPr>
        <w:t xml:space="preserve"> </w:t>
      </w:r>
      <w:r>
        <w:rPr>
          <w:rFonts w:ascii="Tahoma" w:hAnsi="Tahoma" w:hint="cs"/>
          <w:rtl/>
        </w:rPr>
        <w:t>المغني 5/95.</w:t>
      </w:r>
    </w:p>
  </w:footnote>
  <w:footnote w:id="7">
    <w:p w:rsidR="00C563F6" w:rsidRDefault="00C563F6" w:rsidP="00C563F6">
      <w:pPr>
        <w:pStyle w:val="af3"/>
        <w:rPr>
          <w:rtl/>
        </w:rPr>
      </w:pPr>
      <w:r w:rsidRPr="00D72E14">
        <w:rPr>
          <w:rFonts w:ascii="Tahoma" w:hAnsi="Tahoma"/>
          <w:rtl/>
        </w:rPr>
        <w:t>(</w:t>
      </w:r>
      <w:r w:rsidRPr="00D72E14">
        <w:rPr>
          <w:rStyle w:val="ae"/>
          <w:rFonts w:ascii="Tahoma" w:hAnsi="Tahoma"/>
          <w:vertAlign w:val="baseline"/>
        </w:rPr>
        <w:footnoteRef/>
      </w:r>
      <w:r w:rsidRPr="00D72E14">
        <w:rPr>
          <w:rFonts w:ascii="Tahoma" w:hAnsi="Tahoma"/>
          <w:rtl/>
        </w:rPr>
        <w:t>)</w:t>
      </w:r>
      <w:r>
        <w:rPr>
          <w:rFonts w:ascii="Tahoma" w:hAnsi="Tahoma" w:hint="cs"/>
          <w:rtl/>
        </w:rPr>
        <w:t xml:space="preserve"> جاء في </w:t>
      </w:r>
      <w:r w:rsidRPr="00D72E14">
        <w:rPr>
          <w:rFonts w:ascii="Tahoma" w:hAnsi="Tahoma" w:hint="cs"/>
          <w:rtl/>
        </w:rPr>
        <w:t xml:space="preserve">كشاف القناع 6/475: </w:t>
      </w:r>
      <w:r w:rsidRPr="00D72E14">
        <w:rPr>
          <w:rFonts w:ascii="Tahoma" w:hAnsi="Tahoma"/>
          <w:rtl/>
        </w:rPr>
        <w:t>(ولا يقبل رجوع المقر عن إقراره) لتعلق حق المقر له بالمقر به (إلا فيما كان حدا لله) تعالى فيقبل رجوعه عنه كما تقدم في مواضعه لأن الحد يدرأ بالشبهة.</w:t>
      </w:r>
      <w:r w:rsidRPr="00D72E14">
        <w:rPr>
          <w:rFonts w:ascii="Tahoma" w:hAnsi="Tahoma" w:hint="cs"/>
          <w:rtl/>
        </w:rPr>
        <w:t xml:space="preserve"> </w:t>
      </w:r>
      <w:r w:rsidRPr="00D72E14">
        <w:rPr>
          <w:rFonts w:ascii="Tahoma" w:hAnsi="Tahoma"/>
          <w:rtl/>
        </w:rPr>
        <w:t>(وأما حقوق الآدميين وحقوق الله التي لا تدرأ بالشبهات كالزكاة والكفارات فلا يقبل رجوعه) أي المقر (عنها) أي عن الإقرار بها</w:t>
      </w:r>
      <w:r w:rsidRPr="00D72E14">
        <w:rPr>
          <w:rFonts w:ascii="Tahoma" w:hAnsi="Tahoma" w:hint="cs"/>
          <w:rtl/>
        </w:rPr>
        <w:t>.</w:t>
      </w:r>
      <w:r w:rsidRPr="00D72E14">
        <w:rPr>
          <w:rFonts w:hint="cs"/>
          <w:rtl/>
        </w:rPr>
        <w:t xml:space="preserve"> </w:t>
      </w:r>
    </w:p>
    <w:p w:rsidR="00C563F6" w:rsidRPr="00D72E14" w:rsidRDefault="00C563F6" w:rsidP="00C563F6">
      <w:pPr>
        <w:pStyle w:val="af3"/>
        <w:ind w:firstLine="0"/>
        <w:rPr>
          <w:rFonts w:ascii="Tahoma" w:hAnsi="Tahoma"/>
          <w:rtl/>
        </w:rPr>
      </w:pPr>
      <w:r>
        <w:rPr>
          <w:rFonts w:hint="cs"/>
          <w:rtl/>
        </w:rPr>
        <w:t>وفي شرح المنتهى 3/629: (</w:t>
      </w:r>
      <w:r w:rsidRPr="00AA043C">
        <w:rPr>
          <w:rtl/>
        </w:rPr>
        <w:t>( وإن رج</w:t>
      </w:r>
      <w:r>
        <w:rPr>
          <w:rtl/>
        </w:rPr>
        <w:t>ع مقر بحق آدمي أو ) رجع مقر ب (زكاة أو كفارة لم يقبل</w:t>
      </w:r>
      <w:r w:rsidRPr="00AA043C">
        <w:rPr>
          <w:rtl/>
        </w:rPr>
        <w:t>) لتعلق حق</w:t>
      </w:r>
      <w:r>
        <w:rPr>
          <w:rtl/>
        </w:rPr>
        <w:t xml:space="preserve"> الآدمي المعين أو أهل الزكاة به</w:t>
      </w:r>
      <w:r>
        <w:rPr>
          <w:rFonts w:hint="cs"/>
          <w:rtl/>
        </w:rPr>
        <w:t>)</w:t>
      </w:r>
      <w:r w:rsidRPr="00AA043C">
        <w:rPr>
          <w:rtl/>
        </w:rPr>
        <w:t>.</w:t>
      </w:r>
    </w:p>
    <w:p w:rsidR="00C563F6" w:rsidRPr="00D72E14" w:rsidRDefault="00C563F6" w:rsidP="00C563F6">
      <w:pPr>
        <w:pStyle w:val="af3"/>
        <w:rPr>
          <w:rFonts w:ascii="Tahoma" w:hAnsi="Tahoma"/>
        </w:rPr>
      </w:pPr>
    </w:p>
  </w:footnote>
  <w:footnote w:id="8">
    <w:p w:rsidR="00C563F6" w:rsidRPr="00AC3F78" w:rsidRDefault="00C563F6" w:rsidP="00C563F6">
      <w:pPr>
        <w:pStyle w:val="af3"/>
        <w:rPr>
          <w:rFonts w:ascii="Tahoma" w:hAnsi="Tahoma"/>
          <w:rtl/>
        </w:rPr>
      </w:pPr>
      <w:r w:rsidRPr="00AC3F78">
        <w:rPr>
          <w:rFonts w:ascii="Tahoma" w:hAnsi="Tahoma"/>
          <w:rtl/>
        </w:rPr>
        <w:t>(</w:t>
      </w:r>
      <w:r w:rsidRPr="00AC3F78">
        <w:rPr>
          <w:rStyle w:val="ae"/>
          <w:rFonts w:ascii="Tahoma" w:hAnsi="Tahoma"/>
          <w:vertAlign w:val="baseline"/>
        </w:rPr>
        <w:footnoteRef/>
      </w:r>
      <w:r w:rsidRPr="00AC3F78">
        <w:rPr>
          <w:rFonts w:ascii="Tahoma" w:hAnsi="Tahoma"/>
          <w:rtl/>
        </w:rPr>
        <w:t>)</w:t>
      </w:r>
      <w:r>
        <w:rPr>
          <w:rFonts w:ascii="Tahoma" w:hAnsi="Tahoma"/>
          <w:rtl/>
        </w:rPr>
        <w:t xml:space="preserve"> </w:t>
      </w:r>
      <w:r>
        <w:rPr>
          <w:rFonts w:ascii="Tahoma" w:hAnsi="Tahoma" w:hint="cs"/>
          <w:rtl/>
        </w:rPr>
        <w:t>المحلى لابن حزم 7/100.</w:t>
      </w:r>
    </w:p>
  </w:footnote>
  <w:footnote w:id="9">
    <w:p w:rsidR="00C563F6" w:rsidRPr="00A41C1A" w:rsidRDefault="00C563F6" w:rsidP="00C563F6">
      <w:pPr>
        <w:pStyle w:val="af3"/>
        <w:rPr>
          <w:rFonts w:ascii="Tahoma" w:hAnsi="Tahoma"/>
        </w:rPr>
      </w:pPr>
      <w:r w:rsidRPr="00A41C1A">
        <w:rPr>
          <w:rFonts w:ascii="Tahoma" w:hAnsi="Tahoma"/>
          <w:rtl/>
        </w:rPr>
        <w:t>(</w:t>
      </w:r>
      <w:r w:rsidRPr="00A41C1A">
        <w:rPr>
          <w:rStyle w:val="ae"/>
          <w:rFonts w:ascii="Tahoma" w:hAnsi="Tahoma"/>
          <w:vertAlign w:val="baseline"/>
        </w:rPr>
        <w:footnoteRef/>
      </w:r>
      <w:r w:rsidRPr="00A41C1A">
        <w:rPr>
          <w:rFonts w:ascii="Tahoma" w:hAnsi="Tahoma"/>
          <w:rtl/>
        </w:rPr>
        <w:t>)</w:t>
      </w:r>
      <w:r>
        <w:rPr>
          <w:rFonts w:ascii="Tahoma" w:hAnsi="Tahoma"/>
          <w:rtl/>
        </w:rPr>
        <w:t xml:space="preserve"> </w:t>
      </w:r>
      <w:r>
        <w:rPr>
          <w:rFonts w:ascii="Tahoma" w:hAnsi="Tahoma" w:hint="cs"/>
          <w:rtl/>
        </w:rPr>
        <w:t>فتح الباري لابن حجر 12/56.</w:t>
      </w:r>
    </w:p>
  </w:footnote>
  <w:footnote w:id="10">
    <w:p w:rsidR="00C563F6" w:rsidRPr="0076464A" w:rsidRDefault="00C563F6" w:rsidP="00C563F6">
      <w:pPr>
        <w:pStyle w:val="af3"/>
        <w:rPr>
          <w:rFonts w:ascii="Tahoma" w:hAnsi="Tahoma"/>
        </w:rPr>
      </w:pPr>
      <w:r w:rsidRPr="0076464A">
        <w:rPr>
          <w:rFonts w:ascii="Tahoma" w:hAnsi="Tahoma"/>
          <w:rtl/>
        </w:rPr>
        <w:t>(</w:t>
      </w:r>
      <w:r w:rsidRPr="0076464A">
        <w:rPr>
          <w:rStyle w:val="ae"/>
          <w:rFonts w:ascii="Tahoma" w:hAnsi="Tahoma"/>
          <w:vertAlign w:val="baseline"/>
        </w:rPr>
        <w:footnoteRef/>
      </w:r>
      <w:r w:rsidRPr="0076464A">
        <w:rPr>
          <w:rFonts w:ascii="Tahoma" w:hAnsi="Tahoma"/>
          <w:rtl/>
        </w:rPr>
        <w:t>)</w:t>
      </w:r>
      <w:r>
        <w:rPr>
          <w:rFonts w:ascii="Tahoma" w:hAnsi="Tahoma"/>
          <w:rtl/>
        </w:rPr>
        <w:t xml:space="preserve"> </w:t>
      </w:r>
      <w:r>
        <w:rPr>
          <w:rFonts w:ascii="Tahoma" w:hAnsi="Tahoma" w:hint="cs"/>
          <w:rtl/>
        </w:rPr>
        <w:t>الطرق الحكمية 5.</w:t>
      </w:r>
    </w:p>
  </w:footnote>
  <w:footnote w:id="11">
    <w:p w:rsidR="00C563F6" w:rsidRPr="00162F24" w:rsidRDefault="00C563F6" w:rsidP="00C563F6">
      <w:pPr>
        <w:pStyle w:val="af3"/>
        <w:rPr>
          <w:rFonts w:ascii="Tahoma" w:hAnsi="Tahoma"/>
        </w:rPr>
      </w:pPr>
      <w:r w:rsidRPr="00162F24">
        <w:rPr>
          <w:rFonts w:ascii="Tahoma" w:hAnsi="Tahoma"/>
          <w:rtl/>
        </w:rPr>
        <w:t>(</w:t>
      </w:r>
      <w:r w:rsidRPr="00162F24">
        <w:rPr>
          <w:rStyle w:val="ae"/>
          <w:rFonts w:ascii="Tahoma" w:hAnsi="Tahoma"/>
          <w:vertAlign w:val="baseline"/>
        </w:rPr>
        <w:footnoteRef/>
      </w:r>
      <w:r w:rsidRPr="00162F24">
        <w:rPr>
          <w:rFonts w:ascii="Tahoma" w:hAnsi="Tahoma"/>
          <w:rtl/>
        </w:rPr>
        <w:t>)</w:t>
      </w:r>
      <w:r>
        <w:rPr>
          <w:rFonts w:ascii="Tahoma" w:hAnsi="Tahoma"/>
          <w:rtl/>
        </w:rPr>
        <w:t xml:space="preserve"> </w:t>
      </w:r>
      <w:r>
        <w:rPr>
          <w:rFonts w:ascii="Tahoma" w:hAnsi="Tahoma" w:hint="cs"/>
          <w:rtl/>
        </w:rPr>
        <w:t>الطرق الحكمية 8.</w:t>
      </w:r>
    </w:p>
  </w:footnote>
  <w:footnote w:id="12">
    <w:p w:rsidR="00C563F6" w:rsidRPr="00301C7D" w:rsidRDefault="00C563F6" w:rsidP="00C563F6">
      <w:pPr>
        <w:pStyle w:val="af3"/>
        <w:rPr>
          <w:rFonts w:ascii="Tahoma" w:hAnsi="Tahoma"/>
        </w:rPr>
      </w:pPr>
      <w:r w:rsidRPr="00301C7D">
        <w:rPr>
          <w:rFonts w:ascii="Tahoma" w:hAnsi="Tahoma"/>
          <w:rtl/>
        </w:rPr>
        <w:t>(</w:t>
      </w:r>
      <w:r w:rsidRPr="00301C7D">
        <w:rPr>
          <w:rStyle w:val="ae"/>
          <w:rFonts w:ascii="Tahoma" w:hAnsi="Tahoma"/>
          <w:vertAlign w:val="baseline"/>
        </w:rPr>
        <w:footnoteRef/>
      </w:r>
      <w:r w:rsidRPr="00301C7D">
        <w:rPr>
          <w:rFonts w:ascii="Tahoma" w:hAnsi="Tahoma"/>
          <w:rtl/>
        </w:rPr>
        <w:t>)</w:t>
      </w:r>
      <w:r>
        <w:rPr>
          <w:rFonts w:ascii="Tahoma" w:hAnsi="Tahoma"/>
          <w:rtl/>
        </w:rPr>
        <w:t xml:space="preserve"> </w:t>
      </w:r>
      <w:r>
        <w:rPr>
          <w:rFonts w:ascii="Tahoma" w:hAnsi="Tahoma" w:hint="cs"/>
          <w:rtl/>
        </w:rPr>
        <w:t>المحلى 12/40.</w:t>
      </w:r>
    </w:p>
  </w:footnote>
  <w:footnote w:id="13">
    <w:p w:rsidR="00C563F6" w:rsidRPr="0075515E" w:rsidRDefault="00C563F6" w:rsidP="00C563F6">
      <w:pPr>
        <w:pStyle w:val="af3"/>
        <w:rPr>
          <w:rFonts w:ascii="Tahoma" w:hAnsi="Tahoma"/>
        </w:rPr>
      </w:pPr>
      <w:r w:rsidRPr="0075515E">
        <w:rPr>
          <w:rFonts w:ascii="Tahoma" w:hAnsi="Tahoma"/>
          <w:rtl/>
        </w:rPr>
        <w:t>(</w:t>
      </w:r>
      <w:r w:rsidRPr="0075515E">
        <w:rPr>
          <w:rStyle w:val="ae"/>
          <w:rFonts w:ascii="Tahoma" w:hAnsi="Tahoma"/>
          <w:vertAlign w:val="baseline"/>
        </w:rPr>
        <w:footnoteRef/>
      </w:r>
      <w:r w:rsidRPr="0075515E">
        <w:rPr>
          <w:rFonts w:ascii="Tahoma" w:hAnsi="Tahoma"/>
          <w:rtl/>
        </w:rPr>
        <w:t>)</w:t>
      </w:r>
      <w:r>
        <w:rPr>
          <w:rFonts w:ascii="Tahoma" w:hAnsi="Tahoma"/>
          <w:rtl/>
        </w:rPr>
        <w:t xml:space="preserve"> </w:t>
      </w:r>
      <w:r>
        <w:rPr>
          <w:rFonts w:ascii="Tahoma" w:hAnsi="Tahoma" w:hint="cs"/>
          <w:rtl/>
        </w:rPr>
        <w:t>شرح المنتهى 3/318.</w:t>
      </w:r>
    </w:p>
  </w:footnote>
  <w:footnote w:id="14">
    <w:p w:rsidR="00C563F6" w:rsidRPr="002C20D2" w:rsidRDefault="00C563F6" w:rsidP="00C563F6">
      <w:pPr>
        <w:pStyle w:val="af3"/>
        <w:rPr>
          <w:rFonts w:ascii="Tahoma" w:hAnsi="Tahoma"/>
        </w:rPr>
      </w:pPr>
      <w:r w:rsidRPr="002C20D2">
        <w:rPr>
          <w:rFonts w:ascii="Tahoma" w:hAnsi="Tahoma"/>
          <w:rtl/>
        </w:rPr>
        <w:t>(</w:t>
      </w:r>
      <w:r w:rsidRPr="002C20D2">
        <w:rPr>
          <w:rStyle w:val="ae"/>
          <w:rFonts w:ascii="Tahoma" w:hAnsi="Tahoma"/>
          <w:vertAlign w:val="baseline"/>
        </w:rPr>
        <w:footnoteRef/>
      </w:r>
      <w:r w:rsidRPr="002C20D2">
        <w:rPr>
          <w:rFonts w:ascii="Tahoma" w:hAnsi="Tahoma"/>
          <w:rtl/>
        </w:rPr>
        <w:t>)</w:t>
      </w:r>
      <w:r>
        <w:rPr>
          <w:rFonts w:ascii="Tahoma" w:hAnsi="Tahoma"/>
          <w:rtl/>
        </w:rPr>
        <w:t xml:space="preserve"> </w:t>
      </w:r>
      <w:r>
        <w:rPr>
          <w:rFonts w:ascii="Tahoma" w:hAnsi="Tahoma" w:hint="cs"/>
          <w:rtl/>
        </w:rPr>
        <w:t>المغني 9/63.</w:t>
      </w:r>
    </w:p>
  </w:footnote>
  <w:footnote w:id="15">
    <w:p w:rsidR="00C563F6" w:rsidRPr="006350B2" w:rsidRDefault="00C563F6" w:rsidP="00C563F6">
      <w:pPr>
        <w:pStyle w:val="af3"/>
        <w:rPr>
          <w:rFonts w:ascii="Tahoma" w:hAnsi="Tahoma"/>
        </w:rPr>
      </w:pPr>
      <w:r w:rsidRPr="006350B2">
        <w:rPr>
          <w:rFonts w:ascii="Tahoma" w:hAnsi="Tahoma"/>
          <w:rtl/>
        </w:rPr>
        <w:t>(</w:t>
      </w:r>
      <w:r w:rsidRPr="006350B2">
        <w:rPr>
          <w:rStyle w:val="ae"/>
          <w:rFonts w:ascii="Tahoma" w:hAnsi="Tahoma"/>
          <w:vertAlign w:val="baseline"/>
        </w:rPr>
        <w:footnoteRef/>
      </w:r>
      <w:r w:rsidRPr="006350B2">
        <w:rPr>
          <w:rFonts w:ascii="Tahoma" w:hAnsi="Tahoma"/>
          <w:rtl/>
        </w:rPr>
        <w:t>)</w:t>
      </w:r>
      <w:r>
        <w:rPr>
          <w:rFonts w:ascii="Tahoma" w:hAnsi="Tahoma"/>
          <w:rtl/>
        </w:rPr>
        <w:t xml:space="preserve"> </w:t>
      </w:r>
      <w:r>
        <w:rPr>
          <w:rFonts w:ascii="Tahoma" w:hAnsi="Tahoma" w:hint="cs"/>
          <w:rtl/>
        </w:rPr>
        <w:t>فتاوى الرملي 2/221.</w:t>
      </w:r>
    </w:p>
  </w:footnote>
  <w:footnote w:id="16">
    <w:p w:rsidR="00C563F6" w:rsidRPr="001C374E" w:rsidRDefault="00C563F6" w:rsidP="00C563F6">
      <w:pPr>
        <w:pStyle w:val="af3"/>
        <w:rPr>
          <w:rFonts w:ascii="Tahoma" w:hAnsi="Tahoma"/>
        </w:rPr>
      </w:pPr>
      <w:r w:rsidRPr="001C374E">
        <w:rPr>
          <w:rFonts w:ascii="Tahoma" w:hAnsi="Tahoma"/>
          <w:rtl/>
        </w:rPr>
        <w:t>(</w:t>
      </w:r>
      <w:r w:rsidRPr="001C374E">
        <w:rPr>
          <w:rStyle w:val="ae"/>
          <w:rFonts w:ascii="Tahoma" w:hAnsi="Tahoma"/>
          <w:vertAlign w:val="baseline"/>
        </w:rPr>
        <w:footnoteRef/>
      </w:r>
      <w:r w:rsidRPr="001C374E">
        <w:rPr>
          <w:rFonts w:ascii="Tahoma" w:hAnsi="Tahoma"/>
          <w:rtl/>
        </w:rPr>
        <w:t>)</w:t>
      </w:r>
      <w:r>
        <w:rPr>
          <w:rFonts w:ascii="Tahoma" w:hAnsi="Tahoma"/>
          <w:rtl/>
        </w:rPr>
        <w:t xml:space="preserve"> </w:t>
      </w:r>
      <w:r>
        <w:rPr>
          <w:rFonts w:ascii="Tahoma" w:hAnsi="Tahoma" w:hint="cs"/>
          <w:rtl/>
        </w:rPr>
        <w:t>الفروق 4/38.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885" w:rsidRDefault="00954B53">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A75FA"/>
    <w:multiLevelType w:val="multilevel"/>
    <w:tmpl w:val="550647E4"/>
    <w:lvl w:ilvl="0">
      <w:start w:val="1"/>
      <w:numFmt w:val="decimal"/>
      <w:lvlRestart w:val="0"/>
      <w:lvlText w:val="%1)"/>
      <w:lvlJc w:val="left"/>
      <w:pPr>
        <w:tabs>
          <w:tab w:val="num" w:pos="2064"/>
        </w:tabs>
        <w:ind w:left="2064" w:hanging="362"/>
      </w:pPr>
      <w:rPr>
        <w:rFonts w:cs="Traditional Arabic" w:hint="default"/>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2"/>
  <w:displayVerticalDrawingGridEvery w:val="2"/>
  <w:characterSpacingControl w:val="doNotCompress"/>
  <w:hdrShapeDefaults>
    <o:shapedefaults v:ext="edit" spidmax="2057"/>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C563F6"/>
    <w:rsid w:val="000128FD"/>
    <w:rsid w:val="00025AAC"/>
    <w:rsid w:val="00051AF1"/>
    <w:rsid w:val="00052D29"/>
    <w:rsid w:val="0005602B"/>
    <w:rsid w:val="00075B92"/>
    <w:rsid w:val="000762B5"/>
    <w:rsid w:val="000B6BF6"/>
    <w:rsid w:val="000F66E4"/>
    <w:rsid w:val="001565A6"/>
    <w:rsid w:val="00166BAB"/>
    <w:rsid w:val="001878D4"/>
    <w:rsid w:val="001A6944"/>
    <w:rsid w:val="001B3220"/>
    <w:rsid w:val="00211079"/>
    <w:rsid w:val="00247F6A"/>
    <w:rsid w:val="0025092A"/>
    <w:rsid w:val="00256D7B"/>
    <w:rsid w:val="002C46BD"/>
    <w:rsid w:val="00305526"/>
    <w:rsid w:val="003251BD"/>
    <w:rsid w:val="00336EC0"/>
    <w:rsid w:val="00386C88"/>
    <w:rsid w:val="003D7B61"/>
    <w:rsid w:val="00405A10"/>
    <w:rsid w:val="004445F8"/>
    <w:rsid w:val="00477EF7"/>
    <w:rsid w:val="00494023"/>
    <w:rsid w:val="004A2706"/>
    <w:rsid w:val="005053C0"/>
    <w:rsid w:val="005A3FC6"/>
    <w:rsid w:val="005C7D9D"/>
    <w:rsid w:val="0068596A"/>
    <w:rsid w:val="006B29E5"/>
    <w:rsid w:val="006E6B72"/>
    <w:rsid w:val="006E6BA2"/>
    <w:rsid w:val="006F4CA7"/>
    <w:rsid w:val="00777673"/>
    <w:rsid w:val="007968F3"/>
    <w:rsid w:val="007B5D2B"/>
    <w:rsid w:val="007E5CCC"/>
    <w:rsid w:val="00810510"/>
    <w:rsid w:val="008452E1"/>
    <w:rsid w:val="00860D49"/>
    <w:rsid w:val="00875E98"/>
    <w:rsid w:val="0089293F"/>
    <w:rsid w:val="008A66AE"/>
    <w:rsid w:val="008E7BEA"/>
    <w:rsid w:val="00954B53"/>
    <w:rsid w:val="00964DC7"/>
    <w:rsid w:val="00991E40"/>
    <w:rsid w:val="009A7ACE"/>
    <w:rsid w:val="009B682D"/>
    <w:rsid w:val="009B7238"/>
    <w:rsid w:val="009D4D63"/>
    <w:rsid w:val="00A0016C"/>
    <w:rsid w:val="00A21EF5"/>
    <w:rsid w:val="00A24C91"/>
    <w:rsid w:val="00A44C74"/>
    <w:rsid w:val="00AC1DC9"/>
    <w:rsid w:val="00B12AB5"/>
    <w:rsid w:val="00B432B8"/>
    <w:rsid w:val="00B61391"/>
    <w:rsid w:val="00B879AB"/>
    <w:rsid w:val="00BC36D0"/>
    <w:rsid w:val="00BD26BA"/>
    <w:rsid w:val="00C126BD"/>
    <w:rsid w:val="00C341E5"/>
    <w:rsid w:val="00C5563F"/>
    <w:rsid w:val="00C563F6"/>
    <w:rsid w:val="00C57E4B"/>
    <w:rsid w:val="00C85145"/>
    <w:rsid w:val="00CD1885"/>
    <w:rsid w:val="00D222CB"/>
    <w:rsid w:val="00D23567"/>
    <w:rsid w:val="00D404E6"/>
    <w:rsid w:val="00DA6CDE"/>
    <w:rsid w:val="00DC6DA0"/>
    <w:rsid w:val="00DE6261"/>
    <w:rsid w:val="00DE6FE2"/>
    <w:rsid w:val="00E11D81"/>
    <w:rsid w:val="00E143F7"/>
    <w:rsid w:val="00E40ACF"/>
    <w:rsid w:val="00E57E87"/>
    <w:rsid w:val="00ED6969"/>
    <w:rsid w:val="00EE0FE9"/>
    <w:rsid w:val="00F41EE0"/>
    <w:rsid w:val="00F67533"/>
    <w:rsid w:val="00F70AF8"/>
    <w:rsid w:val="00F976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5:docId w15:val="{533BDA21-00E0-46FB-B2B5-B1A24E2E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3F6"/>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link w:val="Char"/>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character" w:customStyle="1" w:styleId="Char">
    <w:name w:val="نص حاشية سفلية Char"/>
    <w:basedOn w:val="a0"/>
    <w:link w:val="af3"/>
    <w:rsid w:val="00C563F6"/>
    <w:rPr>
      <w:rFonts w:cs="Traditional Arabic"/>
      <w:color w:val="000000"/>
      <w:sz w:val="28"/>
      <w:szCs w:val="28"/>
      <w:lang w:eastAsia="ar-SA"/>
    </w:rPr>
  </w:style>
  <w:style w:type="character" w:styleId="Hyperlink">
    <w:name w:val="Hyperlink"/>
    <w:basedOn w:val="a0"/>
    <w:rsid w:val="00C563F6"/>
    <w:rPr>
      <w:color w:val="0000FF" w:themeColor="hyperlink"/>
      <w:u w:val="single"/>
    </w:rPr>
  </w:style>
  <w:style w:type="paragraph" w:styleId="afc">
    <w:name w:val="footer"/>
    <w:basedOn w:val="a"/>
    <w:link w:val="Char0"/>
    <w:rsid w:val="00BC36D0"/>
    <w:pPr>
      <w:tabs>
        <w:tab w:val="center" w:pos="4153"/>
        <w:tab w:val="right" w:pos="8306"/>
      </w:tabs>
    </w:pPr>
  </w:style>
  <w:style w:type="character" w:customStyle="1" w:styleId="Char0">
    <w:name w:val="تذييل الصفحة Char"/>
    <w:basedOn w:val="a0"/>
    <w:link w:val="afc"/>
    <w:uiPriority w:val="99"/>
    <w:rsid w:val="00BC36D0"/>
    <w:rPr>
      <w:rFonts w:cs="Traditional Arabic"/>
      <w:color w:val="000000"/>
      <w:sz w:val="36"/>
      <w:szCs w:val="36"/>
      <w:lang w:eastAsia="ar-SA"/>
    </w:rPr>
  </w:style>
  <w:style w:type="character" w:styleId="afd">
    <w:name w:val="FollowedHyperlink"/>
    <w:basedOn w:val="a0"/>
    <w:semiHidden/>
    <w:unhideWhenUsed/>
    <w:rsid w:val="0025092A"/>
    <w:rPr>
      <w:color w:val="800080" w:themeColor="followedHyperlink"/>
      <w:u w:val="single"/>
    </w:rPr>
  </w:style>
  <w:style w:type="paragraph" w:customStyle="1" w:styleId="afe">
    <w:basedOn w:val="a"/>
    <w:next w:val="afc"/>
    <w:uiPriority w:val="99"/>
    <w:rsid w:val="00964DC7"/>
    <w:pPr>
      <w:widowControl/>
      <w:tabs>
        <w:tab w:val="center" w:pos="4153"/>
        <w:tab w:val="right" w:pos="8306"/>
      </w:tabs>
      <w:ind w:firstLine="0"/>
      <w:jc w:val="left"/>
    </w:pPr>
    <w:rPr>
      <w:rFonts w:cs="Times New Roman"/>
      <w:color w:val="auto"/>
      <w:sz w:val="24"/>
      <w:szCs w:val="24"/>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ukah.ne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mail.com/q7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twitmail.com/1FW2"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11</Pages>
  <Words>1094</Words>
  <Characters>6240</Characters>
  <Application>Microsoft Office Word</Application>
  <DocSecurity>0</DocSecurity>
  <Lines>52</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ABO HABYBA</cp:lastModifiedBy>
  <cp:revision>9</cp:revision>
  <dcterms:created xsi:type="dcterms:W3CDTF">2013-09-25T00:26:00Z</dcterms:created>
  <dcterms:modified xsi:type="dcterms:W3CDTF">2019-05-04T08:40:00Z</dcterms:modified>
</cp:coreProperties>
</file>